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27" w:name="_GoBack"/>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5</w:t>
      </w:r>
      <w:r>
        <w:rPr>
          <w:rFonts w:hint="eastAsia" w:ascii="Arial" w:hAnsi="Arial" w:cs="Arial"/>
          <w:b/>
          <w:sz w:val="24"/>
          <w:szCs w:val="24"/>
          <w:highlight w:val="none"/>
        </w:rPr>
        <w:t xml:space="preserve">                               R4-2219378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eastAsia="宋体" w:cs="Arial"/>
          <w:b/>
          <w:sz w:val="24"/>
          <w:szCs w:val="24"/>
          <w:lang w:eastAsia="zh-CN"/>
        </w:rPr>
        <w:t>Toulouse, France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4</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Nov</w:t>
      </w:r>
      <w:r>
        <w:rPr>
          <w:rFonts w:ascii="Arial" w:hAnsi="Arial" w:cs="Arial"/>
          <w:b/>
          <w:bCs/>
          <w:sz w:val="24"/>
          <w:szCs w:val="24"/>
        </w:rPr>
        <w:t xml:space="preserve"> – </w:t>
      </w:r>
      <w:r>
        <w:rPr>
          <w:rFonts w:hint="eastAsia" w:ascii="Arial" w:hAnsi="Arial" w:cs="Arial"/>
          <w:b/>
          <w:bCs/>
          <w:sz w:val="24"/>
          <w:szCs w:val="24"/>
          <w:lang w:val="en-US" w:eastAsia="zh-CN"/>
        </w:rPr>
        <w:t>18</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Nov,</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Batang"/>
          <w:b/>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Batang"/>
          <w:b/>
          <w:lang w:val="en-US" w:eastAsia="zh-CN"/>
        </w:rPr>
        <w:t>8.23.1.1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bookmarkEnd w:id="27"/>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 xml:space="preserve">system parameter for NTN in Ka band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rFonts w:hint="default" w:eastAsia="宋体"/>
          <w:lang w:val="en-US" w:eastAsia="zh-CN"/>
        </w:rPr>
      </w:pPr>
      <w:r>
        <w:rPr>
          <w:rFonts w:hint="eastAsia" w:cs="Times New Roman"/>
          <w:kern w:val="2"/>
          <w:sz w:val="21"/>
          <w:szCs w:val="22"/>
          <w:highlight w:val="none"/>
          <w:lang w:val="en-US" w:eastAsia="zh-CN" w:bidi="ar-SA"/>
        </w:rPr>
        <w:t>In RAN#92e meeting, the work item [</w:t>
      </w:r>
      <w:r>
        <w:rPr>
          <w:rFonts w:hint="eastAsia" w:ascii="Times New Roman" w:hAnsi="Times New Roman" w:eastAsia="宋体" w:cs="Times New Roman"/>
          <w:sz w:val="20"/>
          <w:szCs w:val="20"/>
          <w:highlight w:val="none"/>
          <w:lang w:val="en-US" w:eastAsia="zh-CN"/>
        </w:rPr>
        <w:t>RP-221819</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NR NTN (Non-Terrestrial Networks) enhancements</w:t>
      </w:r>
      <w:r>
        <w:rPr>
          <w:rFonts w:hint="eastAsia" w:cs="Times New Roman"/>
          <w:kern w:val="2"/>
          <w:sz w:val="21"/>
          <w:szCs w:val="22"/>
          <w:highlight w:val="none"/>
          <w:lang w:val="en-US" w:eastAsia="zh-CN" w:bidi="ar-SA"/>
        </w:rPr>
        <w:t xml:space="preserve"> was approved as one of Rel-18 RAN1/2/3 package. In this contribution, we want to share further views for system parameters for NTN in Ka-band.</w:t>
      </w:r>
    </w:p>
    <w:p>
      <w:pPr>
        <w:spacing w:after="0"/>
        <w:rPr>
          <w:bCs/>
        </w:rPr>
      </w:pPr>
      <w:bookmarkStart w:id="1" w:name="OLE_LINK35"/>
      <w:r>
        <w:rPr>
          <w:bCs/>
        </w:rPr>
        <w:t>The following covers the objectives for NR-NTN deployment in above 10 GHz bands. This work is expected to start after June 2022.</w:t>
      </w:r>
    </w:p>
    <w:p>
      <w:pPr>
        <w:numPr>
          <w:ilvl w:val="0"/>
          <w:numId w:val="2"/>
        </w:numPr>
        <w:spacing w:after="0"/>
        <w:rPr>
          <w:bCs/>
        </w:rPr>
      </w:pPr>
      <w:r>
        <w:rPr>
          <w:bCs/>
        </w:rPr>
        <w:t>Study and identify NTN example band: Analysis of regulations and adjacent channel co-existence scenarios. The example band shall be identified early in the WI. Additional bands can be introduced in a release-independent manner. [RAN4]</w:t>
      </w:r>
    </w:p>
    <w:p>
      <w:pPr>
        <w:numPr>
          <w:ilvl w:val="1"/>
          <w:numId w:val="2"/>
        </w:numPr>
        <w:spacing w:after="0"/>
        <w:rPr>
          <w:bCs/>
        </w:rPr>
      </w:pPr>
      <w:r>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pPr>
        <w:numPr>
          <w:ilvl w:val="1"/>
          <w:numId w:val="2"/>
        </w:numPr>
        <w:spacing w:after="0"/>
        <w:rPr>
          <w:bCs/>
        </w:rPr>
      </w:pPr>
      <w:r>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pPr>
        <w:numPr>
          <w:ilvl w:val="1"/>
          <w:numId w:val="2"/>
        </w:numPr>
        <w:spacing w:after="0"/>
        <w:rPr>
          <w:bCs/>
        </w:rPr>
      </w:pPr>
      <w:r>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w:t>
      </w:r>
      <w:bookmarkStart w:id="2" w:name="_Hlk90540445"/>
      <w:r>
        <w:rPr>
          <w:bCs/>
        </w:rPr>
        <w:t>. The outcome is expected to be applicable to all NTN-TN adjacent band scenarios (if any) in the whole Ka band range where applicable and regulations allow.</w:t>
      </w:r>
      <w:bookmarkEnd w:id="2"/>
      <w:r>
        <w:rPr>
          <w:bCs/>
        </w:rPr>
        <w:t xml:space="preserve"> [RAN4]</w:t>
      </w:r>
    </w:p>
    <w:p>
      <w:pPr>
        <w:numPr>
          <w:ilvl w:val="1"/>
          <w:numId w:val="2"/>
        </w:numPr>
        <w:spacing w:after="0"/>
        <w:rPr>
          <w:bCs/>
        </w:rPr>
      </w:pPr>
      <w:r>
        <w:rPr>
          <w:bCs/>
        </w:rPr>
        <w:t>For all the above, RAN4 process as agreed for NTN in FR1 should be used for coexistence analysis in above 10 GHz bands [RAN4].</w:t>
      </w:r>
    </w:p>
    <w:p>
      <w:pPr>
        <w:widowControl/>
        <w:numPr>
          <w:ilvl w:val="1"/>
          <w:numId w:val="2"/>
        </w:numPr>
        <w:overflowPunct/>
        <w:autoSpaceDE/>
        <w:autoSpaceDN/>
        <w:adjustRightInd/>
        <w:spacing w:after="0"/>
        <w:jc w:val="left"/>
        <w:textAlignment w:val="auto"/>
      </w:pPr>
      <w:r>
        <w:rPr>
          <w:bCs/>
        </w:rPr>
        <w:t xml:space="preserve">Definition of NTN band(s) above 10 GHz does not change the current FR1/FR2 definition, nor automatically apply to future terrestrial bands defined in this frequency region; (see proposal 2 of the approved way forward </w:t>
      </w:r>
      <w:bookmarkStart w:id="3" w:name="_Hlk89787333"/>
      <w:r>
        <w:rPr>
          <w:bCs/>
        </w:rPr>
        <w:t xml:space="preserve">RP-211596 </w:t>
      </w:r>
      <w:bookmarkEnd w:id="3"/>
      <w:r>
        <w:rPr>
          <w:bCs/>
        </w:rPr>
        <w:t>in RAN#92-e) [RAN4]</w:t>
      </w:r>
    </w:p>
    <w:bookmarkEnd w:id="1"/>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4" w:name="OLE_LINK13"/>
      <w:bookmarkStart w:id="5" w:name="OLE_LINK20"/>
      <w:bookmarkStart w:id="6" w:name="OLE_LINK14"/>
      <w:bookmarkStart w:id="7" w:name="OLE_LINK10"/>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lang w:val="en-US" w:eastAsia="zh-CN"/>
        </w:rPr>
      </w:pPr>
      <w:r>
        <w:rPr>
          <w:rFonts w:hint="eastAsia" w:ascii="Arial" w:hAnsi="Arial" w:cs="Arial"/>
          <w:sz w:val="28"/>
          <w:szCs w:val="28"/>
          <w:lang w:val="en-US" w:eastAsia="zh-CN"/>
        </w:rPr>
        <w:t xml:space="preserve">2.1. </w:t>
      </w:r>
      <w:r>
        <w:rPr>
          <w:rFonts w:hint="default" w:ascii="Arial" w:hAnsi="Arial" w:cs="Arial"/>
          <w:sz w:val="28"/>
          <w:szCs w:val="28"/>
          <w:lang w:val="en-US" w:eastAsia="zh-CN"/>
        </w:rPr>
        <w:t>Operating bands</w:t>
      </w:r>
      <w:r>
        <w:rPr>
          <w:rFonts w:hint="eastAsia" w:ascii="Arial" w:hAnsi="Arial" w:cs="Arial"/>
          <w:sz w:val="28"/>
          <w:szCs w:val="28"/>
          <w:lang w:val="en-US" w:eastAsia="zh-CN"/>
        </w:rPr>
        <w:t xml:space="preserve"> and band numbering</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b w:val="0"/>
          <w:bCs w:val="0"/>
          <w:i w:val="0"/>
          <w:iCs w:val="0"/>
          <w:lang w:val="en-US" w:eastAsia="zh-CN"/>
        </w:rPr>
      </w:pPr>
      <w:r>
        <w:rPr>
          <w:rFonts w:hint="eastAsia"/>
          <w:b w:val="0"/>
          <w:bCs w:val="0"/>
          <w:i w:val="0"/>
          <w:iCs w:val="0"/>
          <w:lang w:val="en-US" w:eastAsia="zh-CN"/>
        </w:rPr>
        <w:t xml:space="preserve">In the previous RAN-P discussions and last RAN4 meeting, there were lots of debates on the definition of Ka band for NTN.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pPr>
      <w:r>
        <w:rPr>
          <w:rFonts w:hint="eastAsia"/>
          <w:b w:val="0"/>
          <w:bCs w:val="0"/>
          <w:i w:val="0"/>
          <w:iCs w:val="0"/>
          <w:lang w:val="en-US" w:eastAsia="zh-CN"/>
        </w:rPr>
        <w:t xml:space="preserve">First of all, it is almost agreeable to define the MSS band with MES (mobile earth station) for NTN in Ka-band, however whether we need to consider the FSS with ESIM in Ka-band, more further discussion are expected especially considering the local regulatory status. Per our understanding, 3GPP mainly defined the bands which have already been identified as IMT (MOBILE) in ITU Radio Regulation and FSS spectrum has not been considered to be defined in 3GPP in past. </w:t>
      </w:r>
      <w:r>
        <w:drawing>
          <wp:inline distT="0" distB="0" distL="114300" distR="114300">
            <wp:extent cx="6186170" cy="4083050"/>
            <wp:effectExtent l="0" t="0" r="508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86170" cy="408305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center"/>
        <w:textAlignment w:val="auto"/>
        <w:rPr>
          <w:rFonts w:hint="eastAsia"/>
          <w:lang w:val="en-US" w:eastAsia="zh-CN"/>
        </w:rPr>
      </w:pPr>
      <w:r>
        <w:rPr>
          <w:rFonts w:hint="eastAsia"/>
          <w:lang w:val="en-US" w:eastAsia="zh-CN"/>
        </w:rPr>
        <w:t>Figure 1. the illustration of ITU spectrum allocation for MSS and FSS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lang w:val="en-US" w:eastAsia="zh-CN"/>
        </w:rPr>
      </w:pPr>
      <w:r>
        <w:rPr>
          <w:rFonts w:hint="eastAsia"/>
          <w:lang w:val="en-US" w:eastAsia="zh-CN"/>
        </w:rPr>
        <w:t>Secondly, as far as we know that, for MSS defined by ITU, only MES are allowed to access while ESIM are not allowed to access. For FSS defined by ITU, only ESIM are allowed to access in GSO scenario. If we only have one wide band definition, then terminals (MES or ESIM) could access either FSS or MSS without much restrictions. On the contrary, if to define separate bands for MSS and FSS spectrum, when terminals are decoding the SIB1 with band information obtained, then terminals could know whether it could access the network or not. In other words, to define Ka-band with separate bands could be enable some UE access/barring mechanism.</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lang w:val="en-US" w:eastAsia="zh-CN"/>
        </w:rPr>
      </w:pPr>
      <w:r>
        <w:rPr>
          <w:rFonts w:hint="eastAsia"/>
          <w:b/>
          <w:bCs/>
          <w:lang w:val="en-US" w:eastAsia="zh-CN"/>
        </w:rPr>
        <w:t>Proposal 1:</w:t>
      </w:r>
      <w:r>
        <w:rPr>
          <w:rFonts w:hint="eastAsia"/>
          <w:lang w:val="en-US" w:eastAsia="zh-CN"/>
        </w:rPr>
        <w:t xml:space="preserve"> to define separate bands for FSS and MSS to enable some terminal access/barring mechanism.</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default"/>
          <w:lang w:val="en-US" w:eastAsia="zh-CN"/>
        </w:rPr>
      </w:pPr>
      <w:r>
        <w:rPr>
          <w:rFonts w:hint="eastAsia"/>
          <w:b/>
          <w:bCs/>
          <w:lang w:val="en-US" w:eastAsia="zh-CN"/>
        </w:rPr>
        <w:t>Proposal 2:</w:t>
      </w:r>
      <w:r>
        <w:rPr>
          <w:rFonts w:hint="eastAsia"/>
          <w:lang w:val="en-US" w:eastAsia="zh-CN"/>
        </w:rPr>
        <w:t xml:space="preserve"> to define MSS band (DL: 19.7-20.2GHz and UL: 29.5-30GHz) for Ka-band firstly and further discuss how to define FSS band; </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lang w:val="en-US" w:eastAsia="zh-CN"/>
        </w:rPr>
      </w:pPr>
      <w:r>
        <w:rPr>
          <w:rFonts w:hint="eastAsia"/>
          <w:lang w:val="en-US" w:eastAsia="zh-CN"/>
        </w:rPr>
        <w:t>Thirdly, regarding the band numbering for NTN Ka-band, just to simplify the discussions for Ka-band in Rel-18, we think that the same approach as Rel-17 NTN approach could be adopted which means Ka band are numbered from the highest value of FR2 bands. Based on the current RAN2 NR band signalling design in TS 38.331, the highest value should be 1024 for FR2 bands.</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lang w:val="en-US" w:eastAsia="zh-CN"/>
        </w:rPr>
      </w:pPr>
      <w:r>
        <w:rPr>
          <w:rFonts w:hint="default"/>
          <w:lang w:val="en-US" w:eastAsia="zh-CN"/>
        </w:rPr>
        <w:t>FreqBandIndicatorNR ::= INTEGER (1..1024)</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lang w:val="en-US" w:eastAsia="zh-CN"/>
        </w:rPr>
      </w:pPr>
      <w:r>
        <w:rPr>
          <w:rFonts w:hint="eastAsia"/>
          <w:lang w:val="en-US" w:eastAsia="zh-CN"/>
        </w:rPr>
        <w:t>However based on the agreement reached for NR band numbering in Rel-15 as following, for mmWave band, the highest band number should be 512. From our understanding, Ka-band could be still categorized as mmWave band.</w:t>
      </w:r>
    </w:p>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120" w:beforeLines="0" w:after="120" w:afterLines="0" w:line="240" w:lineRule="auto"/>
        <w:ind w:left="420" w:hanging="420"/>
        <w:jc w:val="left"/>
        <w:textAlignment w:val="auto"/>
        <w:rPr>
          <w:rFonts w:hint="default"/>
          <w:lang w:val="en-US" w:eastAsia="zh-CN"/>
        </w:rPr>
      </w:pPr>
      <w:r>
        <w:rPr>
          <w:rFonts w:hint="default"/>
          <w:lang w:val="en-US" w:eastAsia="zh-CN"/>
        </w:rPr>
        <w:t>Reserved range is 65-256 for new LTE (FDD) and new NR sub6 bands, 257-512 for NR mmW bands</w:t>
      </w:r>
      <w:r>
        <w:rPr>
          <w:rFonts w:hint="eastAsia"/>
          <w:lang w:val="en-US" w:eastAsia="zh-CN"/>
        </w:rPr>
        <w:t>.</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lang w:val="en-US" w:eastAsia="zh-CN"/>
        </w:rPr>
      </w:pPr>
      <w:r>
        <w:rPr>
          <w:rFonts w:hint="eastAsia"/>
          <w:lang w:val="en-US" w:eastAsia="zh-CN"/>
        </w:rPr>
        <w:t>Based on the above considerations, we make the following proposal for NTN Ka-band.</w:t>
      </w:r>
    </w:p>
    <w:p>
      <w:pPr>
        <w:keepNext/>
        <w:keepLines/>
        <w:pageBreakBefore w:val="0"/>
        <w:widowControl/>
        <w:suppressLineNumbers w:val="0"/>
        <w:kinsoku/>
        <w:wordWrap/>
        <w:topLinePunct w:val="0"/>
        <w:bidi w:val="0"/>
        <w:ind w:firstLine="420" w:firstLineChars="0"/>
        <w:jc w:val="center"/>
        <w:rPr>
          <w:rFonts w:hint="default"/>
          <w:b/>
          <w:bCs/>
          <w:i w:val="0"/>
          <w:iCs w:val="0"/>
          <w:u w:val="single"/>
          <w:lang w:val="en-US" w:eastAsia="zh-CN"/>
        </w:rPr>
      </w:pPr>
      <w:r>
        <w:rPr>
          <w:rFonts w:hint="eastAsia"/>
          <w:b/>
          <w:bCs/>
          <w:i w:val="0"/>
          <w:iCs w:val="0"/>
          <w:u w:val="single"/>
          <w:lang w:val="en-US" w:eastAsia="zh-CN"/>
        </w:rPr>
        <w:t>Table 2.1-1. Frequency range for NTN Ka band</w:t>
      </w:r>
    </w:p>
    <w:tbl>
      <w:tblPr>
        <w:tblStyle w:val="24"/>
        <w:tblW w:w="7650" w:type="dxa"/>
        <w:jc w:val="center"/>
        <w:tblLayout w:type="fixed"/>
        <w:tblCellMar>
          <w:top w:w="0" w:type="dxa"/>
          <w:left w:w="28" w:type="dxa"/>
          <w:bottom w:w="0" w:type="dxa"/>
          <w:right w:w="108" w:type="dxa"/>
        </w:tblCellMar>
      </w:tblPr>
      <w:tblGrid>
        <w:gridCol w:w="1068"/>
        <w:gridCol w:w="1226"/>
        <w:gridCol w:w="517"/>
        <w:gridCol w:w="1174"/>
        <w:gridCol w:w="1242"/>
        <w:gridCol w:w="317"/>
        <w:gridCol w:w="1200"/>
        <w:gridCol w:w="906"/>
      </w:tblGrid>
      <w:tr>
        <w:tblPrEx>
          <w:tblCellMar>
            <w:top w:w="0" w:type="dxa"/>
            <w:left w:w="28" w:type="dxa"/>
            <w:bottom w:w="0" w:type="dxa"/>
            <w:right w:w="108" w:type="dxa"/>
          </w:tblCellMar>
        </w:tblPrEx>
        <w:trPr>
          <w:jc w:val="center"/>
        </w:trPr>
        <w:tc>
          <w:tcPr>
            <w:tcW w:w="1068" w:type="dxa"/>
            <w:vMerge w:val="restart"/>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Operating Band</w:t>
            </w:r>
          </w:p>
        </w:tc>
        <w:tc>
          <w:tcPr>
            <w:tcW w:w="2917" w:type="dxa"/>
            <w:gridSpan w:val="3"/>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59" w:type="dxa"/>
            <w:gridSpan w:val="3"/>
            <w:tcBorders>
              <w:top w:val="single" w:color="auto" w:sz="4" w:space="0"/>
              <w:left w:val="nil"/>
              <w:bottom w:val="single" w:color="auto" w:sz="4" w:space="0"/>
              <w:right w:val="single" w:color="auto" w:sz="4" w:space="0"/>
            </w:tcBorders>
            <w:vAlign w:val="center"/>
          </w:tcPr>
          <w:p>
            <w:pPr>
              <w:pStyle w:val="35"/>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bottom w:val="single" w:color="auto" w:sz="4" w:space="0"/>
              <w:right w:val="single" w:color="auto" w:sz="4" w:space="0"/>
            </w:tcBorders>
          </w:tcPr>
          <w:p>
            <w:pPr>
              <w:pStyle w:val="35"/>
              <w:rPr>
                <w:rFonts w:cs="Arial"/>
              </w:rPr>
            </w:pPr>
            <w:r>
              <w:rPr>
                <w:rFonts w:cs="Arial"/>
              </w:rPr>
              <w:t>Duplex Mode</w:t>
            </w:r>
          </w:p>
        </w:tc>
      </w:tr>
      <w:tr>
        <w:tblPrEx>
          <w:tblCellMar>
            <w:top w:w="0" w:type="dxa"/>
            <w:left w:w="28" w:type="dxa"/>
            <w:bottom w:w="0" w:type="dxa"/>
            <w:right w:w="108" w:type="dxa"/>
          </w:tblCellMar>
        </w:tblPrEx>
        <w:trPr>
          <w:jc w:val="center"/>
        </w:trPr>
        <w:tc>
          <w:tcPr>
            <w:tcW w:w="10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rPr>
            </w:pPr>
          </w:p>
        </w:tc>
        <w:tc>
          <w:tcPr>
            <w:tcW w:w="2917" w:type="dxa"/>
            <w:gridSpan w:val="3"/>
            <w:tcBorders>
              <w:top w:val="single" w:color="auto" w:sz="4" w:space="0"/>
              <w:left w:val="single" w:color="auto" w:sz="4" w:space="0"/>
              <w:bottom w:val="single" w:color="auto" w:sz="4" w:space="0"/>
              <w:right w:val="single" w:color="auto" w:sz="4" w:space="0"/>
            </w:tcBorders>
            <w:vAlign w:val="center"/>
          </w:tcPr>
          <w:p>
            <w:pPr>
              <w:pStyle w:val="35"/>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color="auto" w:sz="4" w:space="0"/>
              <w:left w:val="nil"/>
              <w:bottom w:val="single" w:color="auto" w:sz="4" w:space="0"/>
              <w:right w:val="single" w:color="auto" w:sz="4" w:space="0"/>
            </w:tcBorders>
            <w:vAlign w:val="center"/>
          </w:tcPr>
          <w:p>
            <w:pPr>
              <w:pStyle w:val="35"/>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rPr>
            </w:pPr>
          </w:p>
        </w:tc>
      </w:tr>
      <w:tr>
        <w:tblPrEx>
          <w:tblCellMar>
            <w:top w:w="0" w:type="dxa"/>
            <w:left w:w="2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36"/>
              <w:rPr>
                <w:rFonts w:hint="default" w:eastAsia="宋体" w:cs="Arial"/>
                <w:color w:val="auto"/>
                <w:lang w:val="en-US" w:eastAsia="zh-CN"/>
              </w:rPr>
            </w:pPr>
            <w:r>
              <w:rPr>
                <w:rFonts w:hint="eastAsia" w:cs="Arial"/>
                <w:color w:val="auto"/>
                <w:lang w:val="en-US" w:eastAsia="zh-CN"/>
              </w:rPr>
              <w:t>n512 [MSS]</w:t>
            </w:r>
          </w:p>
        </w:tc>
        <w:tc>
          <w:tcPr>
            <w:tcW w:w="1226" w:type="dxa"/>
            <w:tcBorders>
              <w:top w:val="single" w:color="auto" w:sz="4" w:space="0"/>
              <w:left w:val="single" w:color="auto" w:sz="4" w:space="0"/>
              <w:bottom w:val="single" w:color="auto" w:sz="4" w:space="0"/>
              <w:right w:val="nil"/>
            </w:tcBorders>
            <w:vAlign w:val="center"/>
          </w:tcPr>
          <w:p>
            <w:pPr>
              <w:pStyle w:val="95"/>
              <w:rPr>
                <w:rFonts w:cs="Arial"/>
                <w:color w:val="auto"/>
              </w:rPr>
            </w:pPr>
            <w:r>
              <w:rPr>
                <w:rFonts w:hint="eastAsia" w:cs="Arial"/>
                <w:color w:val="auto"/>
                <w:lang w:val="en-US" w:eastAsia="zh-CN"/>
              </w:rPr>
              <w:t>29500</w:t>
            </w:r>
            <w:r>
              <w:rPr>
                <w:rFonts w:cs="Arial"/>
                <w:color w:val="auto"/>
              </w:rPr>
              <w:t xml:space="preserve"> MHz</w:t>
            </w:r>
          </w:p>
        </w:tc>
        <w:tc>
          <w:tcPr>
            <w:tcW w:w="517" w:type="dxa"/>
            <w:tcBorders>
              <w:top w:val="single" w:color="auto" w:sz="4" w:space="0"/>
              <w:left w:val="nil"/>
              <w:bottom w:val="single" w:color="auto" w:sz="4" w:space="0"/>
              <w:right w:val="nil"/>
            </w:tcBorders>
          </w:tcPr>
          <w:p>
            <w:pPr>
              <w:pStyle w:val="36"/>
              <w:rPr>
                <w:rFonts w:cs="Arial"/>
                <w:color w:val="auto"/>
              </w:rPr>
            </w:pPr>
            <w:r>
              <w:rPr>
                <w:rFonts w:cs="Arial"/>
                <w:color w:val="auto"/>
              </w:rPr>
              <w:t>–</w:t>
            </w:r>
          </w:p>
        </w:tc>
        <w:tc>
          <w:tcPr>
            <w:tcW w:w="1174" w:type="dxa"/>
            <w:tcBorders>
              <w:top w:val="single" w:color="auto" w:sz="4" w:space="0"/>
              <w:left w:val="nil"/>
              <w:bottom w:val="single" w:color="auto" w:sz="4" w:space="0"/>
              <w:right w:val="single" w:color="auto" w:sz="4" w:space="0"/>
            </w:tcBorders>
            <w:vAlign w:val="center"/>
          </w:tcPr>
          <w:p>
            <w:pPr>
              <w:pStyle w:val="37"/>
              <w:rPr>
                <w:rFonts w:cs="Arial"/>
                <w:color w:val="auto"/>
              </w:rPr>
            </w:pPr>
            <w:r>
              <w:rPr>
                <w:rFonts w:hint="eastAsia" w:cs="Arial"/>
                <w:color w:val="auto"/>
                <w:lang w:val="en-US" w:eastAsia="zh-CN"/>
              </w:rPr>
              <w:t>30000</w:t>
            </w:r>
            <w:r>
              <w:rPr>
                <w:rFonts w:cs="Arial"/>
                <w:color w:val="auto"/>
              </w:rPr>
              <w:t xml:space="preserve"> MHz </w:t>
            </w:r>
          </w:p>
        </w:tc>
        <w:tc>
          <w:tcPr>
            <w:tcW w:w="1242" w:type="dxa"/>
            <w:tcBorders>
              <w:top w:val="single" w:color="auto" w:sz="4" w:space="0"/>
              <w:left w:val="nil"/>
              <w:bottom w:val="single" w:color="auto" w:sz="4" w:space="0"/>
              <w:right w:val="nil"/>
            </w:tcBorders>
            <w:vAlign w:val="center"/>
          </w:tcPr>
          <w:p>
            <w:pPr>
              <w:pStyle w:val="95"/>
              <w:rPr>
                <w:rFonts w:cs="Arial"/>
                <w:color w:val="auto"/>
              </w:rPr>
            </w:pPr>
            <w:r>
              <w:rPr>
                <w:rFonts w:hint="eastAsia" w:cs="Arial"/>
                <w:color w:val="auto"/>
                <w:lang w:val="en-US" w:eastAsia="zh-CN"/>
              </w:rPr>
              <w:t>19700</w:t>
            </w:r>
            <w:r>
              <w:rPr>
                <w:rFonts w:cs="Arial"/>
                <w:color w:val="auto"/>
              </w:rPr>
              <w:t>MHz</w:t>
            </w:r>
          </w:p>
        </w:tc>
        <w:tc>
          <w:tcPr>
            <w:tcW w:w="317" w:type="dxa"/>
            <w:tcBorders>
              <w:top w:val="single" w:color="auto" w:sz="4" w:space="0"/>
              <w:left w:val="nil"/>
              <w:bottom w:val="single" w:color="auto" w:sz="4" w:space="0"/>
              <w:right w:val="nil"/>
            </w:tcBorders>
          </w:tcPr>
          <w:p>
            <w:pPr>
              <w:pStyle w:val="36"/>
              <w:rPr>
                <w:rFonts w:cs="Arial"/>
                <w:color w:val="auto"/>
              </w:rPr>
            </w:pPr>
            <w:r>
              <w:rPr>
                <w:rFonts w:cs="Arial"/>
                <w:color w:val="auto"/>
              </w:rPr>
              <w:t>–</w:t>
            </w:r>
          </w:p>
        </w:tc>
        <w:tc>
          <w:tcPr>
            <w:tcW w:w="1200" w:type="dxa"/>
            <w:tcBorders>
              <w:top w:val="single" w:color="auto" w:sz="4" w:space="0"/>
              <w:left w:val="nil"/>
              <w:bottom w:val="single" w:color="auto" w:sz="4" w:space="0"/>
              <w:right w:val="single" w:color="auto" w:sz="4" w:space="0"/>
            </w:tcBorders>
            <w:vAlign w:val="center"/>
          </w:tcPr>
          <w:p>
            <w:pPr>
              <w:pStyle w:val="37"/>
              <w:rPr>
                <w:rFonts w:hint="eastAsia" w:eastAsia="宋体" w:cs="Arial"/>
                <w:color w:val="auto"/>
                <w:lang w:val="en-US" w:eastAsia="zh-CN"/>
              </w:rPr>
            </w:pPr>
            <w:r>
              <w:rPr>
                <w:rFonts w:hint="eastAsia" w:cs="Arial"/>
                <w:color w:val="auto"/>
                <w:lang w:val="en-US" w:eastAsia="zh-CN"/>
              </w:rPr>
              <w:t>20200</w:t>
            </w:r>
            <w:r>
              <w:rPr>
                <w:rFonts w:cs="Arial"/>
                <w:color w:val="auto"/>
              </w:rPr>
              <w:t xml:space="preserve"> MHz</w:t>
            </w:r>
          </w:p>
        </w:tc>
        <w:tc>
          <w:tcPr>
            <w:tcW w:w="906" w:type="dxa"/>
            <w:tcBorders>
              <w:top w:val="single" w:color="auto" w:sz="4" w:space="0"/>
              <w:left w:val="single" w:color="auto" w:sz="4" w:space="0"/>
              <w:bottom w:val="single" w:color="auto" w:sz="4" w:space="0"/>
              <w:right w:val="single" w:color="auto" w:sz="4" w:space="0"/>
            </w:tcBorders>
          </w:tcPr>
          <w:p>
            <w:pPr>
              <w:pStyle w:val="36"/>
              <w:rPr>
                <w:rFonts w:cs="Arial"/>
                <w:color w:val="auto"/>
              </w:rPr>
            </w:pPr>
            <w:r>
              <w:rPr>
                <w:rFonts w:cs="Arial"/>
                <w:color w:val="auto"/>
              </w:rPr>
              <w:t>FDD</w:t>
            </w:r>
          </w:p>
        </w:tc>
      </w:tr>
      <w:tr>
        <w:tblPrEx>
          <w:tblCellMar>
            <w:top w:w="0" w:type="dxa"/>
            <w:left w:w="28" w:type="dxa"/>
            <w:bottom w:w="0" w:type="dxa"/>
            <w:right w:w="108" w:type="dxa"/>
          </w:tblCellMar>
        </w:tblPrEx>
        <w:trPr>
          <w:jc w:val="center"/>
        </w:trPr>
        <w:tc>
          <w:tcPr>
            <w:tcW w:w="1068" w:type="dxa"/>
            <w:tcBorders>
              <w:top w:val="single" w:color="auto" w:sz="4" w:space="0"/>
              <w:left w:val="single" w:color="auto" w:sz="4" w:space="0"/>
              <w:bottom w:val="single" w:color="auto" w:sz="4" w:space="0"/>
              <w:right w:val="single" w:color="auto" w:sz="4" w:space="0"/>
            </w:tcBorders>
            <w:vAlign w:val="center"/>
          </w:tcPr>
          <w:p>
            <w:pPr>
              <w:pStyle w:val="36"/>
              <w:rPr>
                <w:rFonts w:hint="default" w:cs="Arial"/>
                <w:color w:val="auto"/>
                <w:lang w:val="en-US" w:eastAsia="zh-CN"/>
              </w:rPr>
            </w:pPr>
            <w:r>
              <w:rPr>
                <w:rFonts w:hint="eastAsia" w:cs="Arial"/>
                <w:color w:val="auto"/>
                <w:lang w:val="en-US" w:eastAsia="zh-CN"/>
              </w:rPr>
              <w:t>[n511]</w:t>
            </w:r>
          </w:p>
          <w:p>
            <w:pPr>
              <w:pStyle w:val="36"/>
              <w:rPr>
                <w:rFonts w:hint="default" w:cs="Arial"/>
                <w:color w:val="auto"/>
                <w:lang w:val="en-US" w:eastAsia="zh-CN"/>
              </w:rPr>
            </w:pPr>
            <w:r>
              <w:rPr>
                <w:rFonts w:hint="eastAsia" w:cs="Arial"/>
                <w:color w:val="auto"/>
                <w:lang w:val="en-US" w:eastAsia="zh-CN"/>
              </w:rPr>
              <w:t>[FSS, GSO only]</w:t>
            </w:r>
          </w:p>
        </w:tc>
        <w:tc>
          <w:tcPr>
            <w:tcW w:w="1226" w:type="dxa"/>
            <w:tcBorders>
              <w:top w:val="single" w:color="auto" w:sz="4" w:space="0"/>
              <w:left w:val="single" w:color="auto" w:sz="4" w:space="0"/>
              <w:bottom w:val="single" w:color="auto" w:sz="4" w:space="0"/>
              <w:right w:val="nil"/>
            </w:tcBorders>
            <w:vAlign w:val="center"/>
          </w:tcPr>
          <w:p>
            <w:pPr>
              <w:pStyle w:val="95"/>
              <w:rPr>
                <w:rFonts w:hint="eastAsia" w:cs="Arial"/>
                <w:color w:val="auto"/>
                <w:lang w:val="en-US" w:eastAsia="zh-CN"/>
              </w:rPr>
            </w:pPr>
            <w:r>
              <w:rPr>
                <w:rFonts w:hint="eastAsia" w:cs="Arial"/>
                <w:color w:val="auto"/>
                <w:lang w:val="en-US" w:eastAsia="zh-CN"/>
              </w:rPr>
              <w:t>[27500</w:t>
            </w:r>
            <w:r>
              <w:rPr>
                <w:rFonts w:cs="Arial"/>
                <w:color w:val="auto"/>
              </w:rPr>
              <w:t xml:space="preserve"> MHz</w:t>
            </w:r>
          </w:p>
        </w:tc>
        <w:tc>
          <w:tcPr>
            <w:tcW w:w="517" w:type="dxa"/>
            <w:tcBorders>
              <w:top w:val="single" w:color="auto" w:sz="4" w:space="0"/>
              <w:left w:val="nil"/>
              <w:bottom w:val="single" w:color="auto" w:sz="4" w:space="0"/>
              <w:right w:val="nil"/>
            </w:tcBorders>
            <w:vAlign w:val="top"/>
          </w:tcPr>
          <w:p>
            <w:pPr>
              <w:pStyle w:val="36"/>
              <w:rPr>
                <w:rFonts w:cs="Arial"/>
                <w:color w:val="auto"/>
              </w:rPr>
            </w:pPr>
            <w:r>
              <w:rPr>
                <w:rFonts w:cs="Arial"/>
                <w:color w:val="auto"/>
              </w:rPr>
              <w:t>–</w:t>
            </w:r>
          </w:p>
        </w:tc>
        <w:tc>
          <w:tcPr>
            <w:tcW w:w="1174" w:type="dxa"/>
            <w:tcBorders>
              <w:top w:val="single" w:color="auto" w:sz="4" w:space="0"/>
              <w:left w:val="nil"/>
              <w:bottom w:val="single" w:color="auto" w:sz="4" w:space="0"/>
              <w:right w:val="single" w:color="auto" w:sz="4" w:space="0"/>
            </w:tcBorders>
            <w:vAlign w:val="center"/>
          </w:tcPr>
          <w:p>
            <w:pPr>
              <w:pStyle w:val="37"/>
              <w:rPr>
                <w:rFonts w:hint="eastAsia" w:cs="Arial"/>
                <w:color w:val="auto"/>
                <w:lang w:val="en-US" w:eastAsia="zh-CN"/>
              </w:rPr>
            </w:pPr>
            <w:r>
              <w:rPr>
                <w:rFonts w:hint="eastAsia" w:cs="Arial"/>
                <w:color w:val="auto"/>
                <w:lang w:val="en-US" w:eastAsia="zh-CN"/>
              </w:rPr>
              <w:t>30000</w:t>
            </w:r>
            <w:r>
              <w:rPr>
                <w:rFonts w:cs="Arial"/>
                <w:color w:val="auto"/>
              </w:rPr>
              <w:t xml:space="preserve"> MHz</w:t>
            </w:r>
            <w:r>
              <w:rPr>
                <w:rFonts w:hint="eastAsia" w:cs="Arial"/>
                <w:color w:val="auto"/>
                <w:lang w:val="en-US" w:eastAsia="zh-CN"/>
              </w:rPr>
              <w:t>]</w:t>
            </w:r>
            <w:r>
              <w:rPr>
                <w:rFonts w:cs="Arial"/>
                <w:color w:val="auto"/>
              </w:rPr>
              <w:t xml:space="preserve"> </w:t>
            </w:r>
          </w:p>
        </w:tc>
        <w:tc>
          <w:tcPr>
            <w:tcW w:w="1242" w:type="dxa"/>
            <w:tcBorders>
              <w:top w:val="single" w:color="auto" w:sz="4" w:space="0"/>
              <w:left w:val="nil"/>
              <w:bottom w:val="single" w:color="auto" w:sz="4" w:space="0"/>
              <w:right w:val="nil"/>
            </w:tcBorders>
            <w:vAlign w:val="center"/>
          </w:tcPr>
          <w:p>
            <w:pPr>
              <w:pStyle w:val="95"/>
              <w:rPr>
                <w:rFonts w:hint="eastAsia" w:cs="Arial"/>
                <w:color w:val="auto"/>
                <w:lang w:val="en-US" w:eastAsia="zh-CN"/>
              </w:rPr>
            </w:pPr>
            <w:r>
              <w:rPr>
                <w:rFonts w:hint="eastAsia" w:cs="Arial"/>
                <w:color w:val="auto"/>
                <w:lang w:val="en-US" w:eastAsia="zh-CN"/>
              </w:rPr>
              <w:t>[17700</w:t>
            </w:r>
            <w:r>
              <w:rPr>
                <w:rFonts w:cs="Arial"/>
                <w:color w:val="auto"/>
              </w:rPr>
              <w:t>MHz</w:t>
            </w:r>
          </w:p>
        </w:tc>
        <w:tc>
          <w:tcPr>
            <w:tcW w:w="317" w:type="dxa"/>
            <w:tcBorders>
              <w:top w:val="single" w:color="auto" w:sz="4" w:space="0"/>
              <w:left w:val="nil"/>
              <w:bottom w:val="single" w:color="auto" w:sz="4" w:space="0"/>
              <w:right w:val="nil"/>
            </w:tcBorders>
            <w:vAlign w:val="top"/>
          </w:tcPr>
          <w:p>
            <w:pPr>
              <w:pStyle w:val="36"/>
              <w:rPr>
                <w:rFonts w:cs="Arial"/>
                <w:color w:val="auto"/>
              </w:rPr>
            </w:pPr>
            <w:r>
              <w:rPr>
                <w:rFonts w:cs="Arial"/>
                <w:color w:val="auto"/>
              </w:rPr>
              <w:t>–</w:t>
            </w:r>
          </w:p>
        </w:tc>
        <w:tc>
          <w:tcPr>
            <w:tcW w:w="1200" w:type="dxa"/>
            <w:tcBorders>
              <w:top w:val="single" w:color="auto" w:sz="4" w:space="0"/>
              <w:left w:val="nil"/>
              <w:bottom w:val="single" w:color="auto" w:sz="4" w:space="0"/>
              <w:right w:val="single" w:color="auto" w:sz="4" w:space="0"/>
            </w:tcBorders>
            <w:vAlign w:val="center"/>
          </w:tcPr>
          <w:p>
            <w:pPr>
              <w:pStyle w:val="37"/>
              <w:rPr>
                <w:rFonts w:hint="eastAsia" w:cs="Arial"/>
                <w:color w:val="auto"/>
                <w:lang w:val="en-US" w:eastAsia="zh-CN"/>
              </w:rPr>
            </w:pPr>
            <w:r>
              <w:rPr>
                <w:rFonts w:hint="eastAsia" w:cs="Arial"/>
                <w:color w:val="auto"/>
                <w:lang w:val="en-US" w:eastAsia="zh-CN"/>
              </w:rPr>
              <w:t>20200</w:t>
            </w:r>
            <w:r>
              <w:rPr>
                <w:rFonts w:cs="Arial"/>
                <w:color w:val="auto"/>
              </w:rPr>
              <w:t xml:space="preserve"> MHz</w:t>
            </w:r>
            <w:r>
              <w:rPr>
                <w:rFonts w:hint="eastAsia" w:cs="Arial"/>
                <w:color w:val="auto"/>
                <w:lang w:val="en-US" w:eastAsia="zh-CN"/>
              </w:rPr>
              <w:t>]</w:t>
            </w:r>
          </w:p>
        </w:tc>
        <w:tc>
          <w:tcPr>
            <w:tcW w:w="906" w:type="dxa"/>
            <w:tcBorders>
              <w:top w:val="single" w:color="auto" w:sz="4" w:space="0"/>
              <w:left w:val="single" w:color="auto" w:sz="4" w:space="0"/>
              <w:bottom w:val="single" w:color="auto" w:sz="4" w:space="0"/>
              <w:right w:val="single" w:color="auto" w:sz="4" w:space="0"/>
            </w:tcBorders>
          </w:tcPr>
          <w:p>
            <w:pPr>
              <w:pStyle w:val="36"/>
              <w:rPr>
                <w:rFonts w:hint="default" w:eastAsia="宋体" w:cs="Arial"/>
                <w:color w:val="auto"/>
                <w:lang w:val="en-US" w:eastAsia="zh-CN"/>
              </w:rPr>
            </w:pPr>
            <w:r>
              <w:rPr>
                <w:rFonts w:hint="eastAsia" w:eastAsia="宋体" w:cs="Arial"/>
                <w:color w:val="auto"/>
                <w:lang w:val="en-US" w:eastAsia="zh-CN"/>
              </w:rPr>
              <w:t>[FDD]</w:t>
            </w:r>
          </w:p>
        </w:tc>
      </w:tr>
      <w:tr>
        <w:tblPrEx>
          <w:tblCellMar>
            <w:top w:w="0" w:type="dxa"/>
            <w:left w:w="28" w:type="dxa"/>
            <w:bottom w:w="0" w:type="dxa"/>
            <w:right w:w="108" w:type="dxa"/>
          </w:tblCellMar>
        </w:tblPrEx>
        <w:trPr>
          <w:jc w:val="center"/>
        </w:trPr>
        <w:tc>
          <w:tcPr>
            <w:tcW w:w="7650" w:type="dxa"/>
            <w:gridSpan w:val="8"/>
            <w:tcBorders>
              <w:top w:val="single" w:color="auto" w:sz="4" w:space="0"/>
              <w:left w:val="single" w:color="auto" w:sz="4" w:space="0"/>
              <w:bottom w:val="single" w:color="auto" w:sz="4" w:space="0"/>
              <w:right w:val="single" w:color="auto" w:sz="4" w:space="0"/>
            </w:tcBorders>
            <w:vAlign w:val="center"/>
          </w:tcPr>
          <w:p>
            <w:pPr>
              <w:pStyle w:val="36"/>
              <w:jc w:val="left"/>
              <w:rPr>
                <w:rFonts w:hint="default" w:eastAsia="宋体" w:cs="Arial"/>
                <w:color w:val="auto"/>
                <w:lang w:val="en-US" w:eastAsia="zh-CN"/>
              </w:rPr>
            </w:pPr>
            <w:r>
              <w:rPr>
                <w:rFonts w:hint="eastAsia" w:eastAsia="宋体" w:cs="Arial"/>
                <w:color w:val="auto"/>
                <w:lang w:val="en-US" w:eastAsia="zh-CN"/>
              </w:rPr>
              <w:t>]NOTE 1: n512 is targeted for MSS, MES only are allowed to be accessed</w:t>
            </w:r>
          </w:p>
          <w:p>
            <w:pPr>
              <w:pStyle w:val="36"/>
              <w:jc w:val="left"/>
              <w:rPr>
                <w:rFonts w:hint="default" w:eastAsia="宋体" w:cs="Arial"/>
                <w:color w:val="auto"/>
                <w:lang w:val="en-US" w:eastAsia="zh-CN"/>
              </w:rPr>
            </w:pPr>
            <w:r>
              <w:rPr>
                <w:rFonts w:hint="eastAsia" w:eastAsia="宋体" w:cs="Arial"/>
                <w:color w:val="auto"/>
                <w:lang w:val="en-US" w:eastAsia="zh-CN"/>
              </w:rPr>
              <w:t>NOTE 2: n511 is targeted for FSS, ESIM only are allowed to be accessed in GSO scenario.</w:t>
            </w:r>
          </w:p>
        </w:tc>
      </w:tr>
    </w:tbl>
    <w:p>
      <w:pPr>
        <w:keepNext/>
        <w:keepLines/>
        <w:pageBreakBefore w:val="0"/>
        <w:widowControl/>
        <w:suppressLineNumbers w:val="0"/>
        <w:kinsoku/>
        <w:wordWrap/>
        <w:topLinePunct w:val="0"/>
        <w:bidi w:val="0"/>
        <w:ind w:firstLine="420" w:firstLineChars="0"/>
        <w:jc w:val="center"/>
        <w:rPr>
          <w:rFonts w:hint="eastAsia"/>
          <w:b/>
          <w:bCs/>
          <w:i w:val="0"/>
          <w:iCs w:val="0"/>
          <w:u w:val="single"/>
          <w:lang w:val="en-US" w:eastAsia="zh-CN"/>
        </w:rPr>
      </w:pPr>
    </w:p>
    <w:p>
      <w:pPr>
        <w:autoSpaceDE/>
        <w:autoSpaceDN/>
        <w:adjustRightInd/>
        <w:snapToGrid/>
        <w:spacing w:before="0" w:beforeLines="-2147483648" w:after="0" w:afterLines="-2147483648" w:line="240" w:lineRule="auto"/>
        <w:jc w:val="left"/>
        <w:rPr>
          <w:rFonts w:hint="default" w:cs="Times New Roman"/>
          <w:sz w:val="20"/>
          <w:szCs w:val="20"/>
          <w:lang w:val="en-US" w:eastAsia="zh-CN"/>
        </w:rPr>
      </w:pPr>
      <w:r>
        <w:rPr>
          <w:rFonts w:hint="eastAsia" w:cs="Times New Roman"/>
          <w:b/>
          <w:bCs/>
          <w:sz w:val="20"/>
          <w:szCs w:val="20"/>
          <w:lang w:val="en-US" w:eastAsia="zh-CN"/>
        </w:rPr>
        <w:t>Proposal 3</w:t>
      </w:r>
      <w:r>
        <w:rPr>
          <w:rFonts w:hint="eastAsia" w:cs="Times New Roman"/>
          <w:sz w:val="20"/>
          <w:szCs w:val="20"/>
          <w:lang w:val="en-US" w:eastAsia="zh-CN"/>
        </w:rPr>
        <w:t xml:space="preserve">: confirm to use band n512 for Ka-band MSS-band </w:t>
      </w:r>
    </w:p>
    <w:p>
      <w:pPr>
        <w:keepNext/>
        <w:keepLines/>
        <w:pageBreakBefore w:val="0"/>
        <w:widowControl/>
        <w:suppressLineNumbers w:val="0"/>
        <w:kinsoku/>
        <w:wordWrap/>
        <w:topLinePunct w:val="0"/>
        <w:bidi w:val="0"/>
        <w:ind w:firstLine="420" w:firstLineChars="0"/>
        <w:jc w:val="center"/>
        <w:rPr>
          <w:rFonts w:hint="eastAsia"/>
          <w:b/>
          <w:bCs/>
          <w:i w:val="0"/>
          <w:iCs w:val="0"/>
          <w:u w:val="single"/>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Channel bandwidth</w:t>
      </w:r>
    </w:p>
    <w:p>
      <w:pPr>
        <w:keepNext w:val="0"/>
        <w:keepLines w:val="0"/>
        <w:pageBreakBefore w:val="0"/>
        <w:widowControl w:val="0"/>
        <w:suppressLineNumbers w:val="0"/>
        <w:kinsoku/>
        <w:wordWrap/>
        <w:topLinePunct w:val="0"/>
        <w:bidi w:val="0"/>
        <w:spacing w:before="120" w:beforeLines="0" w:after="120" w:afterLines="0"/>
        <w:ind w:firstLine="0" w:firstLineChars="0"/>
        <w:jc w:val="left"/>
        <w:rPr>
          <w:rFonts w:hint="default"/>
          <w:lang w:val="en-US" w:eastAsia="zh-CN"/>
        </w:rPr>
      </w:pPr>
      <w:r>
        <w:rPr>
          <w:rFonts w:hint="eastAsia"/>
          <w:b w:val="0"/>
          <w:bCs w:val="0"/>
          <w:i w:val="0"/>
          <w:iCs w:val="0"/>
          <w:lang w:val="en-US" w:eastAsia="zh-CN"/>
        </w:rPr>
        <w:t>For the supported channel bandwidth for NTN in Ka-band,</w:t>
      </w:r>
      <w:r>
        <w:rPr>
          <w:rFonts w:hint="eastAsia" w:eastAsia="宋体"/>
          <w:lang w:val="en-US" w:eastAsia="zh-CN"/>
        </w:rPr>
        <w:t xml:space="preserve"> </w:t>
      </w:r>
      <w:r>
        <w:rPr>
          <w:rFonts w:hint="eastAsia"/>
          <w:lang w:val="en-US" w:eastAsia="zh-CN"/>
        </w:rPr>
        <w:t>we have reached the following agreement, however there are still some open issue left for further discussions.</w:t>
      </w:r>
    </w:p>
    <w:p>
      <w:pPr>
        <w:pStyle w:val="34"/>
        <w:ind w:left="1440" w:firstLine="0" w:firstLineChars="0"/>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Issue 1-4-1: channel bandwidth</w:t>
      </w:r>
    </w:p>
    <w:p>
      <w:pPr>
        <w:pStyle w:val="34"/>
        <w:ind w:left="1440" w:firstLine="0" w:firstLineChars="0"/>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The following proposal is agreed.  Optional higher channel bandwidths and asymmetric channel bandwidths between DL and UL require further discussion.</w:t>
      </w:r>
    </w:p>
    <w:p>
      <w:pPr>
        <w:ind w:left="1420"/>
      </w:pPr>
      <w:r>
        <w:rPr>
          <w:rFonts w:eastAsiaTheme="minorEastAsia"/>
          <w:b/>
          <w:color w:val="000000" w:themeColor="text1"/>
          <w:lang w:val="en-US" w:eastAsia="zh-CN"/>
          <w14:textFill>
            <w14:solidFill>
              <w14:schemeClr w14:val="tx1"/>
            </w14:solidFill>
          </w14:textFill>
        </w:rPr>
        <w:t xml:space="preserve">Proposal 1-4-1-1: </w:t>
      </w:r>
      <w:r>
        <w:t xml:space="preserve">For NTN operation above 10 GHz, at least the channel bandwidths 50, 100 and 200 MHz are supported. </w:t>
      </w:r>
    </w:p>
    <w:p>
      <w:pPr>
        <w:ind w:left="1420"/>
      </w:pPr>
      <w:r>
        <w:rPr>
          <w:rFonts w:eastAsiaTheme="minorEastAsia"/>
          <w:b/>
          <w:color w:val="000000" w:themeColor="text1"/>
          <w:lang w:val="en-US" w:eastAsia="zh-CN"/>
          <w14:textFill>
            <w14:solidFill>
              <w14:schemeClr w14:val="tx1"/>
            </w14:solidFill>
          </w14:textFill>
        </w:rPr>
        <w:t>Note:</w:t>
      </w:r>
      <w:r>
        <w:t xml:space="preserve"> 400 MHz can be considered as Optional or FFS.</w:t>
      </w:r>
    </w:p>
    <w:p>
      <w:pPr>
        <w:spacing w:after="120" w:line="240" w:lineRule="auto"/>
        <w:ind w:left="1420"/>
        <w:rPr>
          <w:szCs w:val="24"/>
          <w:lang w:val="en-US" w:eastAsia="zh-CN"/>
        </w:rPr>
      </w:pPr>
      <w:r>
        <w:rPr>
          <w:rFonts w:eastAsiaTheme="minorEastAsia"/>
          <w:b/>
          <w:color w:val="000000" w:themeColor="text1"/>
          <w:lang w:val="en-US" w:eastAsia="zh-CN"/>
          <w14:textFill>
            <w14:solidFill>
              <w14:schemeClr w14:val="tx1"/>
            </w14:solidFill>
          </w14:textFill>
        </w:rPr>
        <w:t xml:space="preserve">Proposal 1-4-1-2: </w:t>
      </w:r>
      <w:r>
        <w:rPr>
          <w:rFonts w:eastAsiaTheme="minorEastAsia"/>
          <w:color w:val="000000" w:themeColor="text1"/>
          <w:lang w:val="en-US" w:eastAsia="zh-CN"/>
          <w14:textFill>
            <w14:solidFill>
              <w14:schemeClr w14:val="tx1"/>
            </w14:solidFill>
          </w14:textFill>
        </w:rPr>
        <w:t xml:space="preserve">RAN4 to </w:t>
      </w:r>
      <w:r>
        <w:rPr>
          <w:szCs w:val="24"/>
          <w:lang w:val="en-US" w:eastAsia="zh-CN"/>
        </w:rPr>
        <w:t>further discuss whether:</w:t>
      </w:r>
    </w:p>
    <w:p>
      <w:pPr>
        <w:pStyle w:val="34"/>
        <w:numPr>
          <w:ilvl w:val="5"/>
          <w:numId w:val="4"/>
        </w:numPr>
        <w:spacing w:after="120" w:line="240" w:lineRule="auto"/>
        <w:ind w:left="2102" w:firstLineChars="0"/>
        <w:rPr>
          <w:rFonts w:eastAsia="宋体"/>
          <w:szCs w:val="24"/>
          <w:lang w:val="en-US" w:eastAsia="zh-CN"/>
        </w:rPr>
      </w:pPr>
      <w:r>
        <w:rPr>
          <w:rFonts w:eastAsia="宋体"/>
          <w:szCs w:val="24"/>
          <w:lang w:val="en-US" w:eastAsia="zh-CN"/>
        </w:rPr>
        <w:t>1) higher channel bandwidths (e.g. 400 MHz and beyond) are supported (with 120 kHz SCS)</w:t>
      </w:r>
    </w:p>
    <w:p>
      <w:pPr>
        <w:pStyle w:val="34"/>
        <w:numPr>
          <w:ilvl w:val="5"/>
          <w:numId w:val="4"/>
        </w:numPr>
        <w:spacing w:after="120" w:line="240" w:lineRule="auto"/>
        <w:ind w:left="2102" w:firstLineChars="0"/>
        <w:rPr>
          <w:rFonts w:eastAsia="宋体"/>
          <w:szCs w:val="24"/>
          <w:lang w:val="en-US" w:eastAsia="zh-CN"/>
        </w:rPr>
      </w:pPr>
      <w:r>
        <w:rPr>
          <w:rFonts w:eastAsia="宋体"/>
          <w:szCs w:val="24"/>
          <w:lang w:val="en-US" w:eastAsia="zh-CN"/>
        </w:rPr>
        <w:t>2) Asymmetric channel bandwidths between DL and UL of 50+100, 50+200, and 50+400 MHz are considered for the Ka-band.</w:t>
      </w:r>
    </w:p>
    <w:p>
      <w:pPr>
        <w:keepNext w:val="0"/>
        <w:keepLines w:val="0"/>
        <w:pageBreakBefore w:val="0"/>
        <w:widowControl w:val="0"/>
        <w:suppressLineNumbers w:val="0"/>
        <w:kinsoku/>
        <w:wordWrap/>
        <w:topLinePunct w:val="0"/>
        <w:bidi w:val="0"/>
        <w:spacing w:before="120" w:beforeLines="0" w:after="120" w:afterLines="0"/>
        <w:ind w:firstLine="0" w:firstLineChars="0"/>
        <w:jc w:val="left"/>
        <w:rPr>
          <w:rFonts w:hint="default"/>
          <w:b w:val="0"/>
          <w:bCs w:val="0"/>
          <w:i w:val="0"/>
          <w:iCs w:val="0"/>
          <w:lang w:val="en-US" w:eastAsia="zh-CN"/>
        </w:rPr>
      </w:pPr>
      <w:r>
        <w:rPr>
          <w:rFonts w:hint="eastAsia"/>
          <w:b w:val="0"/>
          <w:bCs w:val="0"/>
          <w:i w:val="0"/>
          <w:iCs w:val="0"/>
          <w:lang w:val="en-US" w:eastAsia="zh-CN"/>
        </w:rPr>
        <w:t>Regarding the optional 400MHz channel bandwidth for ESIM or VSAT, we think that this should be okay since this optional channel bandwidth could be left up to the vendor or operator demand instead of mandatory to be supported. In addition, to align the understanding between different campus especially from satellite vendors, the current RAN4 channel bandwidth definition indicate that the highest channel bandwidth 200MHz is mandatory to be supported and for other channel bandwidth, its capability could be indicated with IoDT bits defined in 38.331 UE capability.</w:t>
      </w:r>
    </w:p>
    <w:p>
      <w:pPr>
        <w:autoSpaceDE/>
        <w:autoSpaceDN/>
        <w:adjustRightInd/>
        <w:snapToGrid/>
        <w:spacing w:before="0" w:beforeLines="-2147483648" w:after="0" w:afterLines="-2147483648" w:line="240" w:lineRule="auto"/>
        <w:jc w:val="left"/>
        <w:rPr>
          <w:rFonts w:hint="eastAsia" w:cs="Times New Roman"/>
          <w:sz w:val="20"/>
          <w:szCs w:val="20"/>
          <w:lang w:val="en-US" w:eastAsia="zh-CN"/>
        </w:rPr>
      </w:pPr>
      <w:r>
        <w:rPr>
          <w:rFonts w:hint="eastAsia"/>
          <w:b/>
          <w:bCs/>
          <w:i w:val="0"/>
          <w:iCs w:val="0"/>
          <w:lang w:val="en-US" w:eastAsia="zh-CN"/>
        </w:rPr>
        <w:t>Proposal 4:</w:t>
      </w:r>
      <w:r>
        <w:rPr>
          <w:rFonts w:hint="eastAsia"/>
          <w:b w:val="0"/>
          <w:bCs w:val="0"/>
          <w:i w:val="0"/>
          <w:iCs w:val="0"/>
          <w:lang w:val="en-US" w:eastAsia="zh-CN"/>
        </w:rPr>
        <w:t xml:space="preserve"> to define 400MHz channel bandwidth as optional channel for </w:t>
      </w:r>
      <w:r>
        <w:rPr>
          <w:rFonts w:hint="eastAsia" w:cs="Times New Roman"/>
          <w:sz w:val="20"/>
          <w:szCs w:val="20"/>
          <w:lang w:val="en-US" w:eastAsia="zh-CN"/>
        </w:rPr>
        <w:t>Ka-band MSS-band.</w:t>
      </w:r>
    </w:p>
    <w:p>
      <w:pPr>
        <w:autoSpaceDE/>
        <w:autoSpaceDN/>
        <w:adjustRightInd/>
        <w:snapToGrid/>
        <w:spacing w:before="0" w:beforeLines="-2147483648" w:after="0" w:afterLines="-2147483648" w:line="240" w:lineRule="auto"/>
        <w:jc w:val="left"/>
        <w:rPr>
          <w:rFonts w:hint="default" w:cs="Times New Roman"/>
          <w:sz w:val="20"/>
          <w:szCs w:val="20"/>
          <w:lang w:val="en-US" w:eastAsia="zh-CN"/>
        </w:rPr>
      </w:pPr>
      <w:r>
        <w:rPr>
          <w:rFonts w:hint="eastAsia" w:cs="Times New Roman"/>
          <w:sz w:val="20"/>
          <w:szCs w:val="20"/>
          <w:lang w:val="en-US" w:eastAsia="zh-CN"/>
        </w:rPr>
        <w:t>In addition, regarding higher channel bandwidth beyond 400MHz, we don</w:t>
      </w:r>
      <w:r>
        <w:rPr>
          <w:rFonts w:hint="default" w:cs="Times New Roman"/>
          <w:sz w:val="20"/>
          <w:szCs w:val="20"/>
          <w:lang w:val="en-US" w:eastAsia="zh-CN"/>
        </w:rPr>
        <w:t>’</w:t>
      </w:r>
      <w:r>
        <w:rPr>
          <w:rFonts w:hint="eastAsia" w:cs="Times New Roman"/>
          <w:sz w:val="20"/>
          <w:szCs w:val="20"/>
          <w:lang w:val="en-US" w:eastAsia="zh-CN"/>
        </w:rPr>
        <w:t>t see its necessity for it. In Rel-17 FR2-2, we have defined larger channel bandwidth for it, however this is not applicable for FR2-1. And as we mentioned before, Ka-band is somehow overlapping with band n257 which is still part of FR2-1. For MSS-band, maximum available spectrum should be 500MHz which is slightly larger than 400MHz, however if we want to define 500MHz channel bandwidth for NTN UE in Ka-band in Rel-18, then it could cause quite lots of additional standardization work and cannot reuse the existing FR2-1 implementation as much as possible. Based on above analysis, we made the following proposal:</w:t>
      </w:r>
    </w:p>
    <w:p>
      <w:pPr>
        <w:keepNext w:val="0"/>
        <w:keepLines w:val="0"/>
        <w:pageBreakBefore w:val="0"/>
        <w:widowControl/>
        <w:suppressLineNumbers w:val="0"/>
        <w:kinsoku/>
        <w:wordWrap/>
        <w:topLinePunct w:val="0"/>
        <w:bidi w:val="0"/>
        <w:spacing w:before="0" w:beforeLines="-2147483648" w:after="0" w:afterLines="-2147483648"/>
        <w:ind w:firstLine="0" w:firstLineChars="0"/>
        <w:jc w:val="left"/>
        <w:rPr>
          <w:rFonts w:hint="eastAsia" w:cs="Times New Roman"/>
          <w:sz w:val="20"/>
          <w:szCs w:val="20"/>
          <w:lang w:val="en-US" w:eastAsia="zh-CN"/>
        </w:rPr>
      </w:pPr>
      <w:r>
        <w:rPr>
          <w:rFonts w:hint="eastAsia"/>
          <w:b/>
          <w:bCs/>
          <w:i w:val="0"/>
          <w:iCs w:val="0"/>
          <w:lang w:val="en-US" w:eastAsia="zh-CN"/>
        </w:rPr>
        <w:t>Proposal 5:</w:t>
      </w:r>
      <w:r>
        <w:rPr>
          <w:rFonts w:hint="eastAsia"/>
          <w:b w:val="0"/>
          <w:bCs w:val="0"/>
          <w:i w:val="0"/>
          <w:iCs w:val="0"/>
          <w:lang w:val="en-US" w:eastAsia="zh-CN"/>
        </w:rPr>
        <w:t xml:space="preserve"> not to define channel bandwidth beyond 400MHz for </w:t>
      </w:r>
      <w:r>
        <w:rPr>
          <w:rFonts w:hint="eastAsia" w:cs="Times New Roman"/>
          <w:sz w:val="20"/>
          <w:szCs w:val="20"/>
          <w:lang w:val="en-US" w:eastAsia="zh-CN"/>
        </w:rPr>
        <w:t>Ka-band MSS-band.</w:t>
      </w:r>
    </w:p>
    <w:p>
      <w:pPr>
        <w:keepNext w:val="0"/>
        <w:keepLines w:val="0"/>
        <w:pageBreakBefore w:val="0"/>
        <w:widowControl/>
        <w:suppressLineNumbers w:val="0"/>
        <w:kinsoku/>
        <w:wordWrap/>
        <w:topLinePunct w:val="0"/>
        <w:bidi w:val="0"/>
        <w:spacing w:before="0" w:beforeLines="-2147483648" w:after="0" w:afterLines="-2147483648"/>
        <w:ind w:firstLine="0" w:firstLineChars="0"/>
        <w:jc w:val="left"/>
        <w:rPr>
          <w:rFonts w:hint="default"/>
          <w:szCs w:val="24"/>
          <w:lang w:val="en-US" w:eastAsia="zh-CN"/>
        </w:rPr>
      </w:pPr>
      <w:r>
        <w:rPr>
          <w:rFonts w:hint="eastAsia" w:cs="Times New Roman"/>
          <w:sz w:val="20"/>
          <w:szCs w:val="20"/>
          <w:lang w:val="en-US" w:eastAsia="zh-CN"/>
        </w:rPr>
        <w:t xml:space="preserve">In the last RAN4 meeting, </w:t>
      </w:r>
      <w:bookmarkStart w:id="8" w:name="_Toc83580323"/>
      <w:bookmarkStart w:id="9" w:name="_Toc84404832"/>
      <w:bookmarkStart w:id="10" w:name="_Toc69083994"/>
      <w:bookmarkStart w:id="11" w:name="_Toc36107474"/>
      <w:bookmarkStart w:id="12" w:name="_Toc45888618"/>
      <w:bookmarkStart w:id="13" w:name="_Toc84413441"/>
      <w:bookmarkStart w:id="14" w:name="_Toc29802107"/>
      <w:bookmarkStart w:id="15" w:name="_Toc21344199"/>
      <w:bookmarkStart w:id="16" w:name="_Toc61372641"/>
      <w:bookmarkStart w:id="17" w:name="_Toc76509023"/>
      <w:bookmarkStart w:id="18" w:name="_Toc76718013"/>
      <w:bookmarkStart w:id="19" w:name="_Toc45888019"/>
      <w:bookmarkStart w:id="20" w:name="_Toc75467001"/>
      <w:bookmarkStart w:id="21" w:name="_Toc68230581"/>
      <w:bookmarkStart w:id="22" w:name="_Toc29802732"/>
      <w:bookmarkStart w:id="23" w:name="_Toc29801683"/>
      <w:bookmarkStart w:id="24" w:name="_Toc37251233"/>
      <w:bookmarkStart w:id="25" w:name="_Toc61367258"/>
      <w:r>
        <w:rPr>
          <w:rFonts w:hint="eastAsia" w:cs="Times New Roman"/>
          <w:sz w:val="20"/>
          <w:szCs w:val="20"/>
          <w:lang w:val="en-US" w:eastAsia="zh-CN"/>
        </w:rPr>
        <w:t xml:space="preserve">there were some initial discussions for </w:t>
      </w:r>
      <w:r>
        <w:rPr>
          <w:rFonts w:eastAsia="宋体"/>
          <w:szCs w:val="24"/>
          <w:lang w:val="en-US" w:eastAsia="zh-CN"/>
        </w:rPr>
        <w:t>Asymmetric channel bandwidths between DL and UL</w:t>
      </w:r>
      <w:r>
        <w:rPr>
          <w:rFonts w:hint="eastAsia"/>
          <w:szCs w:val="24"/>
          <w:lang w:val="en-US" w:eastAsia="zh-CN"/>
        </w:rPr>
        <w:t xml:space="preserve"> in Ka-band, we are also open for further discussion. In general, from system parameter perspective, for asymmetric channel bandwidth, we need to define the following Tx-Rx carrier center frequency separation due to the constraints of duplex design of FDD band, however as we discussed for NTN UE filtering assumption in last RAN4 meeting, due to the large frequency gap up to 7GHz in Ka-band MSS-band, then no such of filtering or duplex are needed for Ka-band MSS-band, in other words, the following restriction for Tx-Rx carrier center frequency separation are not needed.</w:t>
      </w:r>
    </w:p>
    <w:p>
      <w:pPr>
        <w:keepNext w:val="0"/>
        <w:keepLines w:val="0"/>
        <w:pageBreakBefore w:val="0"/>
        <w:widowControl/>
        <w:suppressLineNumbers w:val="0"/>
        <w:kinsoku/>
        <w:wordWrap/>
        <w:topLinePunct w:val="0"/>
        <w:bidi w:val="0"/>
        <w:spacing w:before="0" w:beforeLines="-2147483648" w:after="0" w:afterLines="-2147483648"/>
        <w:ind w:firstLine="0" w:firstLineChars="0"/>
        <w:jc w:val="left"/>
        <w:rPr>
          <w:rFonts w:hint="default"/>
          <w:szCs w:val="24"/>
          <w:lang w:val="en-US" w:eastAsia="zh-CN"/>
        </w:rPr>
      </w:pPr>
    </w:p>
    <w:p>
      <w:pPr>
        <w:keepNext w:val="0"/>
        <w:keepLines w:val="0"/>
        <w:pageBreakBefore w:val="0"/>
        <w:widowControl/>
        <w:suppressLineNumbers w:val="0"/>
        <w:kinsoku/>
        <w:wordWrap/>
        <w:topLinePunct w:val="0"/>
        <w:bidi w:val="0"/>
        <w:spacing w:before="0" w:beforeLines="-2147483648" w:after="0" w:afterLines="-2147483648"/>
        <w:ind w:firstLine="0" w:firstLineChars="0"/>
        <w:jc w:val="left"/>
      </w:pPr>
      <w:r>
        <w:t>5.3.6</w:t>
      </w:r>
      <w:r>
        <w:tab/>
      </w:r>
      <w:r>
        <w:t>Asymmetric channel bandwidths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
        <w:t>The UE channel bandwidth can be asymmetric in downlink and uplink. In asymmetric channel bandwidth operation, the narrower carrier shall be confined within the frequency range of the wider channel bandwidth.</w:t>
      </w:r>
    </w:p>
    <w:p>
      <w:r>
        <w:t>In FDD, the confinement is defined as a maximum deviation to the Tx-Rx carrier center frequency separation (defined in table 5.4.4-1) as following:</w:t>
      </w:r>
    </w:p>
    <w:p>
      <w:pPr>
        <w:pStyle w:val="43"/>
        <w:jc w:val="center"/>
      </w:pPr>
      <w:r>
        <w:t>ΔF</w:t>
      </w:r>
      <w:r>
        <w:rPr>
          <w:vertAlign w:val="subscript"/>
        </w:rPr>
        <w:t>TX-RX</w:t>
      </w:r>
      <w:r>
        <w:t xml:space="preserve"> = | (BW</w:t>
      </w:r>
      <w:r>
        <w:rPr>
          <w:vertAlign w:val="subscript"/>
        </w:rPr>
        <w:t>DL</w:t>
      </w:r>
      <w:r>
        <w:t xml:space="preserve"> – BW</w:t>
      </w:r>
      <w:r>
        <w:rPr>
          <w:vertAlign w:val="subscript"/>
        </w:rPr>
        <w:t>UL</w:t>
      </w:r>
      <w:r>
        <w:t>)/2 |</w:t>
      </w:r>
    </w:p>
    <w:p>
      <w:pPr>
        <w:keepNext w:val="0"/>
        <w:keepLines w:val="0"/>
        <w:pageBreakBefore w:val="0"/>
        <w:widowControl/>
        <w:suppressLineNumbers w:val="0"/>
        <w:kinsoku/>
        <w:wordWrap/>
        <w:topLinePunct w:val="0"/>
        <w:bidi w:val="0"/>
        <w:spacing w:before="0" w:beforeLines="-2147483648" w:after="0" w:afterLines="-2147483648"/>
        <w:ind w:firstLine="0" w:firstLineChars="0"/>
        <w:jc w:val="left"/>
      </w:pPr>
      <w:r>
        <w:t>The operating bands and supported asymmetric channel bandwidth combinations are defined in table 5.3.6-1.</w:t>
      </w:r>
    </w:p>
    <w:p>
      <w:pPr>
        <w:keepNext w:val="0"/>
        <w:keepLines w:val="0"/>
        <w:pageBreakBefore w:val="0"/>
        <w:widowControl/>
        <w:suppressLineNumbers w:val="0"/>
        <w:kinsoku/>
        <w:wordWrap/>
        <w:topLinePunct w:val="0"/>
        <w:bidi w:val="0"/>
        <w:spacing w:before="0" w:beforeLines="-2147483648" w:after="0" w:afterLines="-2147483648"/>
        <w:ind w:firstLine="0" w:firstLineChars="0"/>
        <w:jc w:val="left"/>
        <w:rPr>
          <w:rFonts w:hint="default"/>
          <w:b w:val="0"/>
          <w:bCs w:val="0"/>
          <w:i w:val="0"/>
          <w:iCs w:val="0"/>
          <w:lang w:val="en-US" w:eastAsia="zh-CN"/>
        </w:rPr>
      </w:pPr>
      <w:r>
        <w:rPr>
          <w:rFonts w:hint="eastAsia"/>
          <w:b/>
          <w:bCs/>
          <w:i w:val="0"/>
          <w:iCs w:val="0"/>
          <w:lang w:val="en-US" w:eastAsia="zh-CN"/>
        </w:rPr>
        <w:t>Observation 1:</w:t>
      </w:r>
      <w:r>
        <w:rPr>
          <w:rFonts w:hint="eastAsia"/>
          <w:b w:val="0"/>
          <w:bCs w:val="0"/>
          <w:i w:val="0"/>
          <w:iCs w:val="0"/>
          <w:lang w:val="en-US" w:eastAsia="zh-CN"/>
        </w:rPr>
        <w:t xml:space="preserve"> the legacy</w:t>
      </w:r>
      <w:r>
        <w:rPr>
          <w:rFonts w:hint="eastAsia"/>
          <w:szCs w:val="24"/>
          <w:lang w:val="en-US" w:eastAsia="zh-CN"/>
        </w:rPr>
        <w:t xml:space="preserve"> restriction for Tx-Rx carrier center frequency separation might be not needed if there are no filtering or duplex between MSS-band DL and UL.</w:t>
      </w:r>
    </w:p>
    <w:p>
      <w:pPr>
        <w:keepNext w:val="0"/>
        <w:keepLines w:val="0"/>
        <w:pageBreakBefore w:val="0"/>
        <w:widowControl/>
        <w:suppressLineNumbers w:val="0"/>
        <w:kinsoku/>
        <w:wordWrap/>
        <w:topLinePunct w:val="0"/>
        <w:bidi w:val="0"/>
        <w:spacing w:before="0" w:beforeLines="-2147483648" w:after="0" w:afterLines="-2147483648"/>
        <w:ind w:firstLine="0" w:firstLineChars="0"/>
        <w:jc w:val="left"/>
        <w:rPr>
          <w:rFonts w:hint="default"/>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bookmarkStart w:id="26" w:name="OLE_LINK8"/>
      <w:r>
        <w:rPr>
          <w:rFonts w:hint="eastAsia" w:ascii="Arial" w:hAnsi="Arial" w:cs="Arial"/>
          <w:sz w:val="28"/>
          <w:szCs w:val="28"/>
          <w:lang w:val="en-US" w:eastAsia="zh-CN"/>
        </w:rPr>
        <w:t>2.3. Spectral utilization</w:t>
      </w: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For the spectral utilization for NTN Ka-band, technically speaking, the spectral utilization should be more or less dependent on the waveform, ACLR, out of band emission, ACS and EVM requirements etc. However based on the experience of Rel-17 NR over NTN discussion, it</w:t>
      </w:r>
      <w:r>
        <w:rPr>
          <w:rFonts w:hint="default"/>
          <w:lang w:val="en-US" w:eastAsia="zh-CN"/>
        </w:rPr>
        <w:t>’</w:t>
      </w:r>
      <w:r>
        <w:rPr>
          <w:rFonts w:hint="eastAsia"/>
          <w:lang w:val="en-US" w:eastAsia="zh-CN"/>
        </w:rPr>
        <w:t>s most likely that SAN RF requirement for NTN Ka-band would be relaxed compared with the RF requirement of the terrestrial BS, therefore we don</w:t>
      </w:r>
      <w:r>
        <w:rPr>
          <w:rFonts w:hint="default"/>
          <w:lang w:val="en-US" w:eastAsia="zh-CN"/>
        </w:rPr>
        <w:t>’</w:t>
      </w:r>
      <w:r>
        <w:rPr>
          <w:rFonts w:hint="eastAsia"/>
          <w:lang w:val="en-US" w:eastAsia="zh-CN"/>
        </w:rPr>
        <w:t>t see the problem to follow the spectral utilization of terrestrial NR system.</w:t>
      </w:r>
    </w:p>
    <w:p>
      <w:pPr>
        <w:keepNext w:val="0"/>
        <w:keepLines w:val="0"/>
        <w:pageBreakBefore w:val="0"/>
        <w:widowControl w:val="0"/>
        <w:suppressLineNumbers w:val="0"/>
        <w:kinsoku/>
        <w:wordWrap/>
        <w:topLinePunct w:val="0"/>
        <w:bidi w:val="0"/>
        <w:snapToGrid/>
        <w:spacing w:before="120" w:beforeLines="0" w:after="120" w:afterLines="0"/>
        <w:jc w:val="left"/>
        <w:rPr>
          <w:rFonts w:hint="default"/>
          <w:b w:val="0"/>
          <w:bCs w:val="0"/>
          <w:i w:val="0"/>
          <w:iCs w:val="0"/>
          <w:sz w:val="20"/>
          <w:szCs w:val="20"/>
          <w:u w:val="none"/>
          <w:lang w:val="en-US" w:eastAsia="zh-CN"/>
        </w:rPr>
      </w:pPr>
      <w:r>
        <w:rPr>
          <w:rFonts w:hint="eastAsia"/>
          <w:b/>
          <w:bCs/>
          <w:i w:val="0"/>
          <w:iCs w:val="0"/>
          <w:sz w:val="20"/>
          <w:szCs w:val="20"/>
          <w:u w:val="none"/>
          <w:lang w:val="en-US" w:eastAsia="zh-CN"/>
        </w:rPr>
        <w:t>Proposal 6:</w:t>
      </w:r>
      <w:r>
        <w:rPr>
          <w:rFonts w:hint="eastAsia"/>
          <w:b w:val="0"/>
          <w:bCs w:val="0"/>
          <w:i w:val="0"/>
          <w:iCs w:val="0"/>
          <w:sz w:val="20"/>
          <w:szCs w:val="20"/>
          <w:u w:val="none"/>
          <w:lang w:val="en-US" w:eastAsia="zh-CN"/>
        </w:rPr>
        <w:t xml:space="preserve"> to reuse the same spectral utilization requirement of FR2 TN system for NTN Ka-band.</w:t>
      </w:r>
    </w:p>
    <w:p>
      <w:pPr>
        <w:keepNext w:val="0"/>
        <w:keepLines w:val="0"/>
        <w:pageBreakBefore w:val="0"/>
        <w:widowControl w:val="0"/>
        <w:suppressLineNumbers w:val="0"/>
        <w:kinsoku/>
        <w:wordWrap/>
        <w:topLinePunct w:val="0"/>
        <w:bidi w:val="0"/>
        <w:snapToGrid/>
        <w:jc w:val="left"/>
        <w:outlineLvl w:val="1"/>
        <w:rPr>
          <w:rFonts w:hint="default"/>
          <w:b/>
          <w:bCs/>
          <w:i w:val="0"/>
          <w:iCs w:val="0"/>
          <w:u w:val="single"/>
          <w:lang w:val="en-US" w:eastAsia="zh-CN"/>
        </w:rPr>
      </w:pPr>
      <w:r>
        <w:rPr>
          <w:rFonts w:hint="eastAsia" w:ascii="Arial" w:hAnsi="Arial" w:cs="Arial"/>
          <w:sz w:val="28"/>
          <w:szCs w:val="28"/>
          <w:lang w:val="en-US" w:eastAsia="zh-CN"/>
        </w:rPr>
        <w:t>2.4. Channel raster and sync raster</w:t>
      </w:r>
    </w:p>
    <w:p>
      <w:pPr>
        <w:pStyle w:val="35"/>
        <w:jc w:val="both"/>
        <w:rPr>
          <w:rFonts w:hint="default" w:eastAsia="宋体"/>
          <w:b w:val="0"/>
          <w:bCs w:val="0"/>
          <w:i w:val="0"/>
          <w:iCs w:val="0"/>
          <w:highlight w:val="none"/>
          <w:lang w:val="en-US" w:eastAsia="zh-CN"/>
        </w:rPr>
      </w:pPr>
      <w:r>
        <w:rPr>
          <w:rFonts w:hint="eastAsia" w:ascii="Times New Roman" w:hAnsi="Times New Roman" w:eastAsia="宋体"/>
          <w:b w:val="0"/>
          <w:bCs w:val="0"/>
          <w:i w:val="0"/>
          <w:iCs w:val="0"/>
          <w:kern w:val="2"/>
          <w:sz w:val="21"/>
          <w:szCs w:val="22"/>
          <w:lang w:val="en-US" w:eastAsia="zh-CN"/>
        </w:rPr>
        <w:t>The channel raster for NTN Ka-band could be be the same as band n257, i.e. 60/120kHz to the simplify the VSAT /ESIM/MES implementation complexity for initial access. In addition, sync raster could use similar approach as band n257. It should be noted that range of N</w:t>
      </w:r>
      <w:r>
        <w:rPr>
          <w:rFonts w:hint="eastAsia" w:ascii="Times New Roman" w:hAnsi="Times New Roman" w:eastAsia="宋体"/>
          <w:b w:val="0"/>
          <w:kern w:val="2"/>
          <w:sz w:val="21"/>
          <w:szCs w:val="22"/>
          <w:vertAlign w:val="subscript"/>
          <w:lang w:val="en-US" w:eastAsia="zh-CN"/>
        </w:rPr>
        <w:t>REF</w:t>
      </w:r>
      <w:r>
        <w:rPr>
          <w:rFonts w:hint="eastAsia" w:ascii="Times New Roman" w:hAnsi="Times New Roman" w:eastAsia="宋体"/>
          <w:b w:val="0"/>
          <w:kern w:val="2"/>
          <w:sz w:val="21"/>
          <w:szCs w:val="22"/>
          <w:vertAlign w:val="baseline"/>
          <w:lang w:val="en-US" w:eastAsia="zh-CN"/>
        </w:rPr>
        <w:t xml:space="preserve"> should fall into 3GHz to 24.25GHz instead of 24.25-52.6GHz. Therefore global raster should be still 15kHz while with step size as 4 and 8 for 60kHz and 120kHz </w:t>
      </w:r>
      <w:r>
        <w:rPr>
          <w:rFonts w:hint="eastAsia" w:ascii="Times New Roman" w:hAnsi="Times New Roman" w:eastAsia="宋体"/>
          <w:b w:val="0"/>
          <w:kern w:val="2"/>
          <w:sz w:val="21"/>
          <w:szCs w:val="22"/>
          <w:lang w:val="en-US" w:eastAsia="zh-CN"/>
        </w:rPr>
        <w:t>ΔF</w:t>
      </w:r>
      <w:r>
        <w:rPr>
          <w:rFonts w:hint="eastAsia" w:ascii="Times New Roman" w:hAnsi="Times New Roman" w:eastAsia="宋体"/>
          <w:b w:val="0"/>
          <w:kern w:val="2"/>
          <w:sz w:val="21"/>
          <w:szCs w:val="22"/>
          <w:vertAlign w:val="subscript"/>
          <w:lang w:val="en-US" w:eastAsia="zh-CN"/>
        </w:rPr>
        <w:t>Raster</w:t>
      </w:r>
      <w:r>
        <w:rPr>
          <w:rFonts w:hint="eastAsia" w:ascii="Times New Roman" w:hAnsi="Times New Roman" w:eastAsia="宋体"/>
          <w:b w:val="0"/>
          <w:kern w:val="2"/>
          <w:sz w:val="21"/>
          <w:szCs w:val="22"/>
          <w:vertAlign w:val="baseline"/>
          <w:lang w:val="en-US" w:eastAsia="zh-CN"/>
        </w:rPr>
        <w:t>.</w:t>
      </w:r>
    </w:p>
    <w:p>
      <w:pPr>
        <w:keepNext w:val="0"/>
        <w:keepLines w:val="0"/>
        <w:pageBreakBefore w:val="0"/>
        <w:widowControl w:val="0"/>
        <w:suppressLineNumbers w:val="0"/>
        <w:kinsoku/>
        <w:wordWrap/>
        <w:topLinePunct w:val="0"/>
        <w:bidi w:val="0"/>
        <w:snapToGrid/>
        <w:jc w:val="left"/>
        <w:rPr>
          <w:rFonts w:hint="eastAsia"/>
          <w:b w:val="0"/>
          <w:bCs w:val="0"/>
          <w:i w:val="0"/>
          <w:iCs w:val="0"/>
          <w:lang w:val="en-US" w:eastAsia="zh-CN"/>
        </w:rPr>
      </w:pPr>
      <w:r>
        <w:rPr>
          <w:rFonts w:hint="eastAsia"/>
          <w:b/>
          <w:bCs/>
          <w:i w:val="0"/>
          <w:iCs w:val="0"/>
          <w:lang w:val="en-US" w:eastAsia="zh-CN"/>
        </w:rPr>
        <w:t>Proposal 7:</w:t>
      </w:r>
      <w:r>
        <w:rPr>
          <w:rFonts w:hint="eastAsia"/>
          <w:b w:val="0"/>
          <w:bCs w:val="0"/>
          <w:i w:val="0"/>
          <w:iCs w:val="0"/>
          <w:lang w:val="en-US" w:eastAsia="zh-CN"/>
        </w:rPr>
        <w:t xml:space="preserve"> to use following NR-ARFCN in the Table 2.4-1/2.4-2 for NTN Ka-band MSS-band.</w:t>
      </w:r>
    </w:p>
    <w:p>
      <w:pPr>
        <w:pStyle w:val="45"/>
        <w:rPr>
          <w:rFonts w:hint="default" w:eastAsia="宋体"/>
          <w:color w:val="auto"/>
          <w:lang w:val="en-US" w:eastAsia="zh-CN"/>
        </w:rPr>
      </w:pPr>
      <w:r>
        <w:rPr>
          <w:color w:val="auto"/>
        </w:rPr>
        <w:t xml:space="preserve">Table </w:t>
      </w:r>
      <w:r>
        <w:rPr>
          <w:rFonts w:hint="eastAsia"/>
          <w:color w:val="auto"/>
          <w:lang w:val="en-US" w:eastAsia="zh-CN"/>
        </w:rPr>
        <w:t>2</w:t>
      </w:r>
      <w:r>
        <w:rPr>
          <w:color w:val="auto"/>
        </w:rPr>
        <w:t xml:space="preserve">.4-1: </w:t>
      </w:r>
      <w:r>
        <w:rPr>
          <w:rFonts w:eastAsia="Yu Mincho"/>
          <w:color w:val="auto"/>
        </w:rPr>
        <w:t>NR-ARFCN parameters for the global frequency raster</w:t>
      </w:r>
      <w:r>
        <w:rPr>
          <w:rFonts w:hint="eastAsia" w:eastAsia="宋体"/>
          <w:color w:val="auto"/>
          <w:lang w:val="en-US" w:eastAsia="zh-CN"/>
        </w:rPr>
        <w:t xml:space="preserve"> [TS 38.101-</w:t>
      </w:r>
      <w:r>
        <w:rPr>
          <w:rFonts w:hint="eastAsia"/>
          <w:color w:val="auto"/>
          <w:lang w:val="en-US" w:eastAsia="zh-CN"/>
        </w:rPr>
        <w:t>5</w:t>
      </w:r>
      <w:r>
        <w:rPr>
          <w:rFonts w:hint="eastAsia" w:eastAsia="宋体"/>
          <w:color w:val="auto"/>
          <w:lang w:val="en-US" w:eastAsia="zh-CN"/>
        </w:rPr>
        <w:t>]</w:t>
      </w:r>
    </w:p>
    <w:tbl>
      <w:tblPr>
        <w:tblStyle w:val="24"/>
        <w:tblW w:w="8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1369"/>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tcPr>
          <w:p>
            <w:pPr>
              <w:pStyle w:val="35"/>
              <w:rPr>
                <w:color w:val="auto"/>
              </w:rPr>
            </w:pPr>
            <w:r>
              <w:rPr>
                <w:color w:val="auto"/>
              </w:rPr>
              <w:t>Frequency range (MHz)</w:t>
            </w:r>
          </w:p>
        </w:tc>
        <w:tc>
          <w:tcPr>
            <w:tcW w:w="1369" w:type="dxa"/>
            <w:shd w:val="clear" w:color="auto" w:fill="auto"/>
          </w:tcPr>
          <w:p>
            <w:pPr>
              <w:pStyle w:val="35"/>
              <w:rPr>
                <w:color w:val="auto"/>
              </w:rPr>
            </w:pPr>
            <w:r>
              <w:rPr>
                <w:color w:val="auto"/>
              </w:rPr>
              <w:t>ΔF</w:t>
            </w:r>
            <w:r>
              <w:rPr>
                <w:color w:val="auto"/>
                <w:vertAlign w:val="subscript"/>
              </w:rPr>
              <w:t>Global</w:t>
            </w:r>
            <w:r>
              <w:rPr>
                <w:color w:val="auto"/>
              </w:rPr>
              <w:t xml:space="preserve"> (kHz)</w:t>
            </w:r>
          </w:p>
        </w:tc>
        <w:tc>
          <w:tcPr>
            <w:tcW w:w="1590" w:type="dxa"/>
            <w:shd w:val="clear" w:color="auto" w:fill="auto"/>
          </w:tcPr>
          <w:p>
            <w:pPr>
              <w:pStyle w:val="35"/>
              <w:rPr>
                <w:color w:val="auto"/>
              </w:rPr>
            </w:pPr>
            <w:r>
              <w:rPr>
                <w:color w:val="auto"/>
              </w:rPr>
              <w:t>F</w:t>
            </w:r>
            <w:r>
              <w:rPr>
                <w:color w:val="auto"/>
                <w:vertAlign w:val="subscript"/>
              </w:rPr>
              <w:t>REF-Offs</w:t>
            </w:r>
            <w:r>
              <w:rPr>
                <w:color w:val="auto"/>
              </w:rPr>
              <w:t xml:space="preserve"> [MHz]</w:t>
            </w:r>
          </w:p>
        </w:tc>
        <w:tc>
          <w:tcPr>
            <w:tcW w:w="1134" w:type="dxa"/>
            <w:shd w:val="clear" w:color="auto" w:fill="auto"/>
          </w:tcPr>
          <w:p>
            <w:pPr>
              <w:pStyle w:val="35"/>
              <w:rPr>
                <w:color w:val="auto"/>
              </w:rPr>
            </w:pPr>
            <w:r>
              <w:rPr>
                <w:color w:val="auto"/>
              </w:rPr>
              <w:t>N</w:t>
            </w:r>
            <w:r>
              <w:rPr>
                <w:color w:val="auto"/>
                <w:vertAlign w:val="subscript"/>
              </w:rPr>
              <w:t>REF-Offs</w:t>
            </w:r>
          </w:p>
        </w:tc>
        <w:tc>
          <w:tcPr>
            <w:tcW w:w="1935" w:type="dxa"/>
            <w:shd w:val="clear" w:color="auto" w:fill="auto"/>
          </w:tcPr>
          <w:p>
            <w:pPr>
              <w:pStyle w:val="35"/>
              <w:rPr>
                <w:color w:val="auto"/>
                <w:highlight w:val="yellow"/>
              </w:rPr>
            </w:pPr>
            <w:r>
              <w:rPr>
                <w:color w:val="auto"/>
                <w:highlight w:val="none"/>
              </w:rPr>
              <w:t>Range of N</w:t>
            </w:r>
            <w:r>
              <w:rPr>
                <w:color w:val="auto"/>
                <w:highlight w:val="none"/>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shd w:val="clear" w:color="auto" w:fill="auto"/>
          </w:tcPr>
          <w:p>
            <w:pPr>
              <w:pStyle w:val="36"/>
              <w:rPr>
                <w:color w:val="auto"/>
                <w:lang w:val="en-US"/>
              </w:rPr>
            </w:pPr>
            <w:r>
              <w:rPr>
                <w:rFonts w:hint="eastAsia" w:cs="Arial"/>
                <w:color w:val="auto"/>
                <w:lang w:val="en-US" w:eastAsia="zh-CN"/>
              </w:rPr>
              <w:t>19700</w:t>
            </w:r>
            <w:r>
              <w:rPr>
                <w:color w:val="auto"/>
                <w:lang w:val="en-US"/>
              </w:rPr>
              <w:t xml:space="preserve"> – </w:t>
            </w:r>
            <w:r>
              <w:rPr>
                <w:rFonts w:hint="eastAsia" w:cs="Arial"/>
                <w:color w:val="auto"/>
                <w:lang w:val="en-US" w:eastAsia="zh-CN"/>
              </w:rPr>
              <w:t>20200</w:t>
            </w:r>
          </w:p>
        </w:tc>
        <w:tc>
          <w:tcPr>
            <w:tcW w:w="1369" w:type="dxa"/>
            <w:shd w:val="clear" w:color="auto" w:fill="auto"/>
          </w:tcPr>
          <w:p>
            <w:pPr>
              <w:pStyle w:val="36"/>
              <w:rPr>
                <w:rFonts w:hint="default" w:eastAsia="宋体"/>
                <w:color w:val="auto"/>
                <w:lang w:val="en-US" w:eastAsia="zh-CN"/>
              </w:rPr>
            </w:pPr>
            <w:r>
              <w:rPr>
                <w:rFonts w:hint="eastAsia" w:eastAsia="宋体"/>
                <w:color w:val="auto"/>
                <w:lang w:val="en-US" w:eastAsia="zh-CN"/>
              </w:rPr>
              <w:t>15</w:t>
            </w:r>
          </w:p>
        </w:tc>
        <w:tc>
          <w:tcPr>
            <w:tcW w:w="1590" w:type="dxa"/>
            <w:shd w:val="clear" w:color="auto" w:fill="auto"/>
            <w:vAlign w:val="bottom"/>
          </w:tcPr>
          <w:p>
            <w:pPr>
              <w:pStyle w:val="36"/>
              <w:rPr>
                <w:rFonts w:ascii="Arial" w:hAnsi="Arial" w:eastAsia="Times New Roman" w:cs="Times New Roman"/>
                <w:i w:val="0"/>
                <w:color w:val="auto"/>
                <w:kern w:val="0"/>
                <w:sz w:val="18"/>
                <w:szCs w:val="20"/>
                <w:u w:val="none"/>
                <w:lang w:val="en-US" w:eastAsia="zh-CN" w:bidi="ar-SA"/>
              </w:rPr>
            </w:pPr>
            <w:r>
              <w:rPr>
                <w:rFonts w:hint="default" w:ascii="Arial" w:hAnsi="Arial" w:eastAsia="Times New Roman" w:cs="Times New Roman"/>
                <w:i w:val="0"/>
                <w:color w:val="auto"/>
                <w:kern w:val="0"/>
                <w:sz w:val="18"/>
                <w:szCs w:val="20"/>
                <w:u w:val="none"/>
                <w:lang w:val="en-GB" w:eastAsia="ja-JP" w:bidi="ar-SA"/>
              </w:rPr>
              <w:t>19700.04</w:t>
            </w:r>
          </w:p>
        </w:tc>
        <w:tc>
          <w:tcPr>
            <w:tcW w:w="1134" w:type="dxa"/>
            <w:shd w:val="clear" w:color="auto" w:fill="auto"/>
          </w:tcPr>
          <w:p>
            <w:pPr>
              <w:pStyle w:val="36"/>
              <w:rPr>
                <w:color w:val="auto"/>
                <w:lang w:val="en-US"/>
              </w:rPr>
            </w:pPr>
            <w:r>
              <w:rPr>
                <w:rFonts w:hint="default" w:ascii="Arial" w:hAnsi="Arial" w:eastAsia="Times New Roman" w:cs="Times New Roman"/>
                <w:i w:val="0"/>
                <w:color w:val="auto"/>
                <w:kern w:val="0"/>
                <w:sz w:val="18"/>
                <w:szCs w:val="20"/>
                <w:u w:val="none"/>
                <w:lang w:val="en-US" w:eastAsia="zh-CN" w:bidi="ar"/>
              </w:rPr>
              <w:t>1713336</w:t>
            </w:r>
          </w:p>
        </w:tc>
        <w:tc>
          <w:tcPr>
            <w:tcW w:w="1935" w:type="dxa"/>
            <w:shd w:val="clear" w:color="auto" w:fill="auto"/>
          </w:tcPr>
          <w:p>
            <w:pPr>
              <w:pStyle w:val="36"/>
              <w:rPr>
                <w:color w:val="auto"/>
                <w:lang w:val="en-US"/>
              </w:rPr>
            </w:pPr>
            <w:r>
              <w:rPr>
                <w:rFonts w:hint="default" w:ascii="Arial" w:hAnsi="Arial" w:eastAsia="Times New Roman" w:cs="Times New Roman"/>
                <w:i w:val="0"/>
                <w:color w:val="auto"/>
                <w:kern w:val="0"/>
                <w:sz w:val="18"/>
                <w:szCs w:val="20"/>
                <w:u w:val="none"/>
                <w:lang w:val="en-US" w:eastAsia="zh-CN" w:bidi="ar"/>
              </w:rPr>
              <w:t>1713336</w:t>
            </w:r>
            <w:r>
              <w:rPr>
                <w:color w:val="auto"/>
                <w:lang w:val="en-US"/>
              </w:rPr>
              <w:t xml:space="preserve"> – </w:t>
            </w:r>
            <w:r>
              <w:rPr>
                <w:rFonts w:hint="default" w:ascii="Arial" w:hAnsi="Arial" w:eastAsia="Times New Roman" w:cs="Times New Roman"/>
                <w:i w:val="0"/>
                <w:color w:val="auto"/>
                <w:kern w:val="0"/>
                <w:sz w:val="18"/>
                <w:szCs w:val="20"/>
                <w:u w:val="none"/>
                <w:lang w:val="en-US" w:eastAsia="zh-CN" w:bidi="ar"/>
              </w:rPr>
              <w:t>1746664</w:t>
            </w:r>
          </w:p>
        </w:tc>
      </w:tr>
    </w:tbl>
    <w:p>
      <w:pPr>
        <w:keepNext w:val="0"/>
        <w:keepLines w:val="0"/>
        <w:pageBreakBefore w:val="0"/>
        <w:widowControl w:val="0"/>
        <w:suppressLineNumbers w:val="0"/>
        <w:kinsoku/>
        <w:wordWrap/>
        <w:topLinePunct w:val="0"/>
        <w:bidi w:val="0"/>
        <w:snapToGrid/>
        <w:jc w:val="left"/>
        <w:rPr>
          <w:rFonts w:hint="eastAsia"/>
          <w:b w:val="0"/>
          <w:bCs w:val="0"/>
          <w:i w:val="0"/>
          <w:iCs w:val="0"/>
          <w:color w:val="auto"/>
          <w:lang w:val="en-US" w:eastAsia="zh-CN"/>
        </w:rPr>
      </w:pPr>
    </w:p>
    <w:p>
      <w:pPr>
        <w:keepNext w:val="0"/>
        <w:keepLines w:val="0"/>
        <w:pageBreakBefore w:val="0"/>
        <w:widowControl w:val="0"/>
        <w:suppressLineNumbers w:val="0"/>
        <w:kinsoku/>
        <w:wordWrap/>
        <w:topLinePunct w:val="0"/>
        <w:bidi w:val="0"/>
        <w:snapToGrid/>
        <w:jc w:val="left"/>
        <w:rPr>
          <w:rFonts w:hint="eastAsia"/>
          <w:b w:val="0"/>
          <w:bCs w:val="0"/>
          <w:i w:val="0"/>
          <w:iCs w:val="0"/>
          <w:color w:val="auto"/>
          <w:lang w:val="en-US" w:eastAsia="zh-CN"/>
        </w:rPr>
      </w:pPr>
    </w:p>
    <w:p>
      <w:pPr>
        <w:pStyle w:val="45"/>
        <w:rPr>
          <w:rFonts w:hint="default"/>
          <w:b/>
          <w:bCs/>
          <w:i w:val="0"/>
          <w:iCs w:val="0"/>
          <w:color w:val="auto"/>
          <w:lang w:val="en-US" w:eastAsia="zh-CN"/>
        </w:rPr>
      </w:pPr>
      <w:r>
        <w:rPr>
          <w:rFonts w:hint="default"/>
          <w:b/>
          <w:bCs/>
          <w:i w:val="0"/>
          <w:iCs w:val="0"/>
          <w:color w:val="auto"/>
          <w:lang w:val="en-US" w:eastAsia="zh-CN"/>
        </w:rPr>
        <w:t>Table 2.4.2. NR-ARFCN for NTN Ka-band</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35"/>
              <w:rPr>
                <w:rFonts w:eastAsia="Yu Mincho"/>
                <w:color w:val="auto"/>
              </w:rPr>
            </w:pPr>
            <w:r>
              <w:rPr>
                <w:color w:val="auto"/>
              </w:rPr>
              <w:t>Operating Band</w:t>
            </w:r>
          </w:p>
        </w:tc>
        <w:tc>
          <w:tcPr>
            <w:tcW w:w="1146" w:type="dxa"/>
            <w:tcBorders>
              <w:top w:val="single" w:color="auto" w:sz="4" w:space="0"/>
              <w:left w:val="single" w:color="auto" w:sz="4" w:space="0"/>
              <w:bottom w:val="single" w:color="auto" w:sz="4" w:space="0"/>
              <w:right w:val="single" w:color="auto" w:sz="4" w:space="0"/>
            </w:tcBorders>
          </w:tcPr>
          <w:p>
            <w:pPr>
              <w:pStyle w:val="35"/>
              <w:rPr>
                <w:color w:val="auto"/>
              </w:rPr>
            </w:pPr>
            <w:r>
              <w:rPr>
                <w:color w:val="auto"/>
              </w:rPr>
              <w:t>ΔF</w:t>
            </w:r>
            <w:r>
              <w:rPr>
                <w:color w:val="auto"/>
                <w:vertAlign w:val="subscript"/>
              </w:rPr>
              <w:t>Raster</w:t>
            </w:r>
          </w:p>
          <w:p>
            <w:pPr>
              <w:pStyle w:val="35"/>
              <w:rPr>
                <w:rFonts w:eastAsia="Yu Mincho"/>
                <w:color w:val="auto"/>
              </w:rPr>
            </w:pPr>
            <w:r>
              <w:rPr>
                <w:color w:val="auto"/>
              </w:rPr>
              <w:t>(kHz)</w:t>
            </w:r>
          </w:p>
        </w:tc>
        <w:tc>
          <w:tcPr>
            <w:tcW w:w="2881" w:type="dxa"/>
            <w:tcBorders>
              <w:top w:val="single" w:color="auto" w:sz="4" w:space="0"/>
              <w:left w:val="single" w:color="auto" w:sz="4" w:space="0"/>
              <w:bottom w:val="single" w:color="auto" w:sz="4" w:space="0"/>
              <w:right w:val="single" w:color="auto" w:sz="4" w:space="0"/>
            </w:tcBorders>
          </w:tcPr>
          <w:p>
            <w:pPr>
              <w:pStyle w:val="35"/>
              <w:rPr>
                <w:rFonts w:eastAsia="Yu Mincho"/>
                <w:color w:val="auto"/>
              </w:rPr>
            </w:pPr>
            <w:r>
              <w:rPr>
                <w:rFonts w:eastAsia="Yu Mincho"/>
                <w:color w:val="auto"/>
              </w:rPr>
              <w:t>Uplink and Downlink</w:t>
            </w:r>
          </w:p>
          <w:p>
            <w:pPr>
              <w:pStyle w:val="35"/>
              <w:rPr>
                <w:rFonts w:eastAsia="Yu Mincho"/>
                <w:color w:val="auto"/>
              </w:rPr>
            </w:pPr>
            <w:r>
              <w:rPr>
                <w:rFonts w:eastAsia="Yu Mincho"/>
                <w:color w:val="auto"/>
              </w:rPr>
              <w:t>Range of N</w:t>
            </w:r>
            <w:r>
              <w:rPr>
                <w:rFonts w:eastAsia="Yu Mincho"/>
                <w:color w:val="auto"/>
                <w:vertAlign w:val="subscript"/>
              </w:rPr>
              <w:t>REF</w:t>
            </w:r>
          </w:p>
          <w:p>
            <w:pPr>
              <w:pStyle w:val="35"/>
              <w:rPr>
                <w:rFonts w:eastAsia="Yu Mincho"/>
                <w:color w:val="auto"/>
              </w:rPr>
            </w:pPr>
            <w:r>
              <w:rPr>
                <w:rFonts w:eastAsia="Yu Mincho"/>
                <w:color w:val="aut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nil"/>
              <w:right w:val="single" w:color="auto" w:sz="4" w:space="0"/>
            </w:tcBorders>
            <w:shd w:val="clear" w:color="auto" w:fill="auto"/>
          </w:tcPr>
          <w:p>
            <w:pPr>
              <w:pStyle w:val="36"/>
              <w:rPr>
                <w:rFonts w:hint="default" w:eastAsia="宋体"/>
                <w:color w:val="auto"/>
                <w:lang w:val="en-US" w:eastAsia="zh-CN"/>
              </w:rPr>
            </w:pPr>
            <w:r>
              <w:rPr>
                <w:rFonts w:hint="eastAsia" w:eastAsia="宋体"/>
                <w:color w:val="auto"/>
                <w:lang w:val="en-US" w:eastAsia="zh-CN"/>
              </w:rPr>
              <w:t>[n512]</w:t>
            </w:r>
          </w:p>
        </w:tc>
        <w:tc>
          <w:tcPr>
            <w:tcW w:w="1146" w:type="dxa"/>
            <w:tcBorders>
              <w:top w:val="single" w:color="auto" w:sz="4" w:space="0"/>
              <w:left w:val="single" w:color="auto" w:sz="4" w:space="0"/>
              <w:bottom w:val="single" w:color="auto" w:sz="4" w:space="0"/>
              <w:right w:val="single" w:color="auto" w:sz="4" w:space="0"/>
            </w:tcBorders>
          </w:tcPr>
          <w:p>
            <w:pPr>
              <w:pStyle w:val="36"/>
              <w:rPr>
                <w:rFonts w:eastAsia="Yu Mincho"/>
                <w:color w:val="auto"/>
                <w:lang w:eastAsia="ja-JP"/>
              </w:rPr>
            </w:pPr>
            <w:r>
              <w:rPr>
                <w:rFonts w:eastAsia="Yu Mincho"/>
                <w:color w:val="auto"/>
                <w:lang w:eastAsia="ja-JP"/>
              </w:rPr>
              <w:t>60</w:t>
            </w:r>
          </w:p>
        </w:tc>
        <w:tc>
          <w:tcPr>
            <w:tcW w:w="2881" w:type="dxa"/>
            <w:tcBorders>
              <w:top w:val="single" w:color="auto" w:sz="4" w:space="0"/>
              <w:left w:val="single" w:color="auto" w:sz="4" w:space="0"/>
              <w:bottom w:val="single" w:color="auto" w:sz="4" w:space="0"/>
              <w:right w:val="single" w:color="auto" w:sz="4" w:space="0"/>
            </w:tcBorders>
          </w:tcPr>
          <w:p>
            <w:pPr>
              <w:pStyle w:val="36"/>
              <w:rPr>
                <w:rFonts w:eastAsia="Yu Mincho"/>
                <w:color w:val="auto"/>
                <w:lang w:eastAsia="ja-JP"/>
              </w:rPr>
            </w:pPr>
            <w:r>
              <w:rPr>
                <w:rFonts w:hint="default" w:ascii="Arial" w:hAnsi="Arial" w:eastAsia="Times New Roman" w:cs="Times New Roman"/>
                <w:i w:val="0"/>
                <w:color w:val="auto"/>
                <w:kern w:val="0"/>
                <w:sz w:val="18"/>
                <w:szCs w:val="20"/>
                <w:u w:val="none"/>
                <w:lang w:val="en-US" w:eastAsia="zh-CN" w:bidi="ar"/>
              </w:rPr>
              <w:t>1713336</w:t>
            </w:r>
            <w:r>
              <w:rPr>
                <w:rFonts w:eastAsia="Yu Mincho"/>
                <w:color w:val="auto"/>
                <w:lang w:eastAsia="ja-JP"/>
              </w:rPr>
              <w:t xml:space="preserve"> – &lt;</w:t>
            </w:r>
            <w:r>
              <w:rPr>
                <w:rFonts w:hint="eastAsia" w:eastAsia="宋体"/>
                <w:color w:val="auto"/>
                <w:lang w:val="en-US" w:eastAsia="zh-CN"/>
              </w:rPr>
              <w:t>4</w:t>
            </w:r>
            <w:r>
              <w:rPr>
                <w:rFonts w:eastAsia="Yu Mincho"/>
                <w:color w:val="auto"/>
                <w:lang w:eastAsia="ja-JP"/>
              </w:rPr>
              <w:t xml:space="preserve">&gt; – </w:t>
            </w:r>
            <w:r>
              <w:rPr>
                <w:rFonts w:hint="eastAsia" w:eastAsia="宋体"/>
                <w:color w:val="auto"/>
                <w:lang w:val="en-US" w:eastAsia="zh-CN"/>
              </w:rPr>
              <w:t>1</w:t>
            </w:r>
            <w:r>
              <w:rPr>
                <w:rFonts w:hint="default" w:ascii="Arial" w:hAnsi="Arial" w:eastAsia="Times New Roman" w:cs="Times New Roman"/>
                <w:i w:val="0"/>
                <w:color w:val="auto"/>
                <w:kern w:val="0"/>
                <w:sz w:val="18"/>
                <w:szCs w:val="20"/>
                <w:u w:val="none"/>
                <w:lang w:val="en-US" w:eastAsia="zh-CN" w:bidi="ar"/>
              </w:rPr>
              <w:t>746664</w:t>
            </w:r>
            <w:r>
              <w:rPr>
                <w:rFonts w:eastAsia="Yu Mincho"/>
                <w:color w:val="auto"/>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nil"/>
              <w:left w:val="single" w:color="auto" w:sz="4" w:space="0"/>
              <w:bottom w:val="nil"/>
              <w:right w:val="single" w:color="auto" w:sz="4" w:space="0"/>
            </w:tcBorders>
            <w:shd w:val="clear" w:color="auto" w:fill="auto"/>
          </w:tcPr>
          <w:p>
            <w:pPr>
              <w:pStyle w:val="36"/>
              <w:rPr>
                <w:color w:val="auto"/>
                <w:lang w:eastAsia="ja-JP"/>
              </w:rPr>
            </w:pPr>
          </w:p>
        </w:tc>
        <w:tc>
          <w:tcPr>
            <w:tcW w:w="1146" w:type="dxa"/>
            <w:tcBorders>
              <w:top w:val="single" w:color="auto" w:sz="4" w:space="0"/>
              <w:left w:val="single" w:color="auto" w:sz="4" w:space="0"/>
              <w:bottom w:val="single" w:color="auto" w:sz="4" w:space="0"/>
              <w:right w:val="single" w:color="auto" w:sz="4" w:space="0"/>
            </w:tcBorders>
          </w:tcPr>
          <w:p>
            <w:pPr>
              <w:pStyle w:val="36"/>
              <w:rPr>
                <w:rFonts w:eastAsia="Yu Mincho"/>
                <w:color w:val="auto"/>
                <w:lang w:eastAsia="ja-JP"/>
              </w:rPr>
            </w:pPr>
            <w:r>
              <w:rPr>
                <w:color w:val="auto"/>
              </w:rPr>
              <w:t>120</w:t>
            </w:r>
          </w:p>
        </w:tc>
        <w:tc>
          <w:tcPr>
            <w:tcW w:w="2881" w:type="dxa"/>
            <w:tcBorders>
              <w:top w:val="single" w:color="auto" w:sz="4" w:space="0"/>
              <w:left w:val="single" w:color="auto" w:sz="4" w:space="0"/>
              <w:bottom w:val="single" w:color="auto" w:sz="4" w:space="0"/>
              <w:right w:val="single" w:color="auto" w:sz="4" w:space="0"/>
            </w:tcBorders>
          </w:tcPr>
          <w:p>
            <w:pPr>
              <w:pStyle w:val="36"/>
              <w:rPr>
                <w:color w:val="auto"/>
                <w:lang w:eastAsia="ja-JP"/>
              </w:rPr>
            </w:pPr>
            <w:r>
              <w:rPr>
                <w:rFonts w:hint="default" w:ascii="Arial" w:hAnsi="Arial" w:eastAsia="Times New Roman" w:cs="Times New Roman"/>
                <w:i w:val="0"/>
                <w:color w:val="auto"/>
                <w:kern w:val="0"/>
                <w:sz w:val="18"/>
                <w:szCs w:val="20"/>
                <w:u w:val="none"/>
                <w:lang w:val="en-US" w:eastAsia="zh-CN" w:bidi="ar"/>
              </w:rPr>
              <w:t>1713336</w:t>
            </w:r>
            <w:r>
              <w:rPr>
                <w:rFonts w:eastAsia="Yu Mincho"/>
                <w:color w:val="auto"/>
                <w:lang w:eastAsia="ja-JP"/>
              </w:rPr>
              <w:t xml:space="preserve"> </w:t>
            </w:r>
            <w:r>
              <w:rPr>
                <w:color w:val="auto"/>
              </w:rPr>
              <w:t>– &lt;</w:t>
            </w:r>
            <w:r>
              <w:rPr>
                <w:rFonts w:hint="eastAsia" w:eastAsia="宋体"/>
                <w:color w:val="auto"/>
                <w:lang w:val="en-US" w:eastAsia="zh-CN"/>
              </w:rPr>
              <w:t>8</w:t>
            </w:r>
            <w:r>
              <w:rPr>
                <w:color w:val="auto"/>
              </w:rPr>
              <w:t xml:space="preserve">&gt; – </w:t>
            </w:r>
            <w:r>
              <w:rPr>
                <w:rFonts w:hint="default" w:ascii="Arial" w:hAnsi="Arial" w:eastAsia="Times New Roman" w:cs="Times New Roman"/>
                <w:i w:val="0"/>
                <w:color w:val="auto"/>
                <w:kern w:val="0"/>
                <w:sz w:val="18"/>
                <w:szCs w:val="20"/>
                <w:u w:val="none"/>
                <w:lang w:val="en-US" w:eastAsia="zh-CN" w:bidi="ar"/>
              </w:rPr>
              <w:t>1746664</w:t>
            </w:r>
            <w:r>
              <w:rPr>
                <w:rFonts w:eastAsia="Yu Mincho"/>
                <w:color w:val="auto"/>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nil"/>
              <w:left w:val="single" w:color="auto" w:sz="4" w:space="0"/>
              <w:bottom w:val="nil"/>
              <w:right w:val="single" w:color="auto" w:sz="4" w:space="0"/>
            </w:tcBorders>
            <w:shd w:val="clear" w:color="auto" w:fill="auto"/>
          </w:tcPr>
          <w:p>
            <w:pPr>
              <w:pStyle w:val="36"/>
              <w:rPr>
                <w:color w:val="auto"/>
                <w:lang w:eastAsia="ja-JP"/>
              </w:rPr>
            </w:pPr>
            <w:r>
              <w:rPr>
                <w:rFonts w:hint="eastAsia" w:eastAsia="宋体"/>
                <w:color w:val="auto"/>
                <w:lang w:val="en-US" w:eastAsia="zh-CN"/>
              </w:rPr>
              <w:t>[n511]</w:t>
            </w:r>
          </w:p>
        </w:tc>
        <w:tc>
          <w:tcPr>
            <w:tcW w:w="1146" w:type="dxa"/>
            <w:tcBorders>
              <w:top w:val="single" w:color="auto" w:sz="4" w:space="0"/>
              <w:left w:val="single" w:color="auto" w:sz="4" w:space="0"/>
              <w:bottom w:val="single" w:color="auto" w:sz="4" w:space="0"/>
              <w:right w:val="single" w:color="auto" w:sz="4" w:space="0"/>
            </w:tcBorders>
          </w:tcPr>
          <w:p>
            <w:pPr>
              <w:pStyle w:val="36"/>
              <w:rPr>
                <w:color w:val="auto"/>
              </w:rPr>
            </w:pPr>
            <w:r>
              <w:rPr>
                <w:rFonts w:eastAsia="Yu Mincho"/>
                <w:color w:val="auto"/>
                <w:lang w:eastAsia="ja-JP"/>
              </w:rPr>
              <w:t>60</w:t>
            </w:r>
          </w:p>
        </w:tc>
        <w:tc>
          <w:tcPr>
            <w:tcW w:w="2881" w:type="dxa"/>
            <w:tcBorders>
              <w:top w:val="single" w:color="auto" w:sz="4" w:space="0"/>
              <w:left w:val="single" w:color="auto" w:sz="4" w:space="0"/>
              <w:bottom w:val="single" w:color="auto" w:sz="4" w:space="0"/>
              <w:right w:val="single" w:color="auto" w:sz="4" w:space="0"/>
            </w:tcBorders>
          </w:tcPr>
          <w:p>
            <w:pPr>
              <w:pStyle w:val="36"/>
              <w:rPr>
                <w:rFonts w:hint="eastAsia" w:eastAsia="宋体"/>
                <w:color w:val="auto"/>
                <w:lang w:val="en-US" w:eastAsia="zh-CN"/>
              </w:rPr>
            </w:pPr>
            <w:r>
              <w:rPr>
                <w:rFonts w:hint="eastAsia" w:eastAsia="宋体"/>
                <w:color w:val="auto"/>
                <w:lang w:val="en-US" w:eastAsia="zh-CN"/>
              </w:rPr>
              <w:t>TBD</w:t>
            </w:r>
            <w:r>
              <w:rPr>
                <w:rFonts w:eastAsia="Yu Mincho"/>
                <w:color w:val="auto"/>
                <w:lang w:eastAsia="ja-JP"/>
              </w:rPr>
              <w:t xml:space="preserve"> – &lt;</w:t>
            </w:r>
            <w:r>
              <w:rPr>
                <w:rFonts w:hint="eastAsia" w:eastAsia="宋体"/>
                <w:color w:val="auto"/>
                <w:lang w:val="en-US" w:eastAsia="zh-CN"/>
              </w:rPr>
              <w:t>4</w:t>
            </w:r>
            <w:r>
              <w:rPr>
                <w:rFonts w:eastAsia="Yu Mincho"/>
                <w:color w:val="auto"/>
                <w:lang w:eastAsia="ja-JP"/>
              </w:rPr>
              <w:t xml:space="preserve">&gt; – </w:t>
            </w:r>
            <w:r>
              <w:rPr>
                <w:rFonts w:hint="eastAsia" w:eastAsia="宋体"/>
                <w:color w:val="auto"/>
                <w:lang w:val="en-US" w:eastAsia="zh-CN"/>
              </w:rPr>
              <w:t>TBD</w:t>
            </w:r>
            <w:r>
              <w:rPr>
                <w:rFonts w:eastAsia="Yu Mincho"/>
                <w:color w:val="auto"/>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nil"/>
              <w:left w:val="single" w:color="auto" w:sz="4" w:space="0"/>
              <w:bottom w:val="single" w:color="auto" w:sz="4" w:space="0"/>
              <w:right w:val="single" w:color="auto" w:sz="4" w:space="0"/>
            </w:tcBorders>
            <w:shd w:val="clear" w:color="auto" w:fill="auto"/>
          </w:tcPr>
          <w:p>
            <w:pPr>
              <w:pStyle w:val="36"/>
              <w:rPr>
                <w:color w:val="auto"/>
                <w:lang w:eastAsia="ja-JP"/>
              </w:rPr>
            </w:pPr>
          </w:p>
        </w:tc>
        <w:tc>
          <w:tcPr>
            <w:tcW w:w="1146" w:type="dxa"/>
            <w:tcBorders>
              <w:top w:val="single" w:color="auto" w:sz="4" w:space="0"/>
              <w:left w:val="single" w:color="auto" w:sz="4" w:space="0"/>
              <w:bottom w:val="single" w:color="auto" w:sz="4" w:space="0"/>
              <w:right w:val="single" w:color="auto" w:sz="4" w:space="0"/>
            </w:tcBorders>
          </w:tcPr>
          <w:p>
            <w:pPr>
              <w:pStyle w:val="36"/>
              <w:rPr>
                <w:color w:val="auto"/>
              </w:rPr>
            </w:pPr>
            <w:r>
              <w:rPr>
                <w:color w:val="auto"/>
              </w:rPr>
              <w:t>120</w:t>
            </w:r>
          </w:p>
        </w:tc>
        <w:tc>
          <w:tcPr>
            <w:tcW w:w="2881" w:type="dxa"/>
            <w:tcBorders>
              <w:top w:val="single" w:color="auto" w:sz="4" w:space="0"/>
              <w:left w:val="single" w:color="auto" w:sz="4" w:space="0"/>
              <w:bottom w:val="single" w:color="auto" w:sz="4" w:space="0"/>
              <w:right w:val="single" w:color="auto" w:sz="4" w:space="0"/>
            </w:tcBorders>
          </w:tcPr>
          <w:p>
            <w:pPr>
              <w:pStyle w:val="36"/>
              <w:rPr>
                <w:rFonts w:hint="eastAsia" w:eastAsia="宋体"/>
                <w:color w:val="auto"/>
                <w:lang w:val="en-US" w:eastAsia="zh-CN"/>
              </w:rPr>
            </w:pPr>
            <w:r>
              <w:rPr>
                <w:rFonts w:hint="eastAsia" w:eastAsia="宋体"/>
                <w:color w:val="auto"/>
                <w:lang w:val="en-US" w:eastAsia="zh-CN"/>
              </w:rPr>
              <w:t>TBD</w:t>
            </w:r>
            <w:r>
              <w:rPr>
                <w:rFonts w:eastAsia="Yu Mincho"/>
                <w:color w:val="auto"/>
                <w:lang w:eastAsia="ja-JP"/>
              </w:rPr>
              <w:t xml:space="preserve"> </w:t>
            </w:r>
            <w:r>
              <w:rPr>
                <w:color w:val="auto"/>
              </w:rPr>
              <w:t>– &lt;</w:t>
            </w:r>
            <w:r>
              <w:rPr>
                <w:rFonts w:hint="eastAsia" w:eastAsia="宋体"/>
                <w:color w:val="auto"/>
                <w:lang w:val="en-US" w:eastAsia="zh-CN"/>
              </w:rPr>
              <w:t>8</w:t>
            </w:r>
            <w:r>
              <w:rPr>
                <w:color w:val="auto"/>
              </w:rPr>
              <w:t xml:space="preserve">&gt; – </w:t>
            </w:r>
            <w:r>
              <w:rPr>
                <w:rFonts w:hint="eastAsia" w:eastAsia="宋体"/>
                <w:color w:val="auto"/>
                <w:lang w:val="en-US" w:eastAsia="zh-CN"/>
              </w:rPr>
              <w:t>TBD</w:t>
            </w:r>
          </w:p>
        </w:tc>
      </w:tr>
    </w:tbl>
    <w:p>
      <w:pPr>
        <w:keepNext/>
        <w:keepLines/>
        <w:pageBreakBefore w:val="0"/>
        <w:widowControl/>
        <w:suppressLineNumbers w:val="0"/>
        <w:kinsoku/>
        <w:wordWrap/>
        <w:topLinePunct w:val="0"/>
        <w:bidi w:val="0"/>
        <w:ind w:firstLine="0" w:firstLineChars="0"/>
        <w:jc w:val="both"/>
        <w:rPr>
          <w:rFonts w:hint="default"/>
          <w:b/>
          <w:bCs/>
          <w:i w:val="0"/>
          <w:iCs w:val="0"/>
          <w:color w:val="auto"/>
          <w:u w:val="none"/>
          <w:lang w:val="en-US" w:eastAsia="zh-CN"/>
        </w:rPr>
      </w:pPr>
    </w:p>
    <w:p>
      <w:pPr>
        <w:keepNext/>
        <w:keepLines/>
        <w:pageBreakBefore w:val="0"/>
        <w:widowControl/>
        <w:suppressLineNumbers w:val="0"/>
        <w:kinsoku/>
        <w:wordWrap/>
        <w:topLinePunct w:val="0"/>
        <w:bidi w:val="0"/>
        <w:ind w:firstLine="0" w:firstLineChars="0"/>
        <w:jc w:val="both"/>
        <w:rPr>
          <w:rFonts w:hint="default"/>
          <w:b/>
          <w:bCs/>
          <w:i w:val="0"/>
          <w:iCs w:val="0"/>
          <w:color w:val="auto"/>
          <w:u w:val="none"/>
          <w:lang w:val="en-US" w:eastAsia="zh-CN"/>
        </w:rPr>
      </w:pPr>
    </w:p>
    <w:p>
      <w:pPr>
        <w:pStyle w:val="35"/>
        <w:jc w:val="both"/>
        <w:rPr>
          <w:rFonts w:hint="default" w:eastAsia="宋体"/>
          <w:b w:val="0"/>
          <w:bCs w:val="0"/>
          <w:i w:val="0"/>
          <w:iCs w:val="0"/>
          <w:color w:val="auto"/>
          <w:highlight w:val="none"/>
          <w:lang w:val="en-US" w:eastAsia="zh-CN"/>
        </w:rPr>
      </w:pPr>
      <w:r>
        <w:rPr>
          <w:rFonts w:hint="eastAsia" w:ascii="Times New Roman" w:hAnsi="Times New Roman" w:eastAsia="宋体"/>
          <w:b w:val="0"/>
          <w:bCs w:val="0"/>
          <w:i w:val="0"/>
          <w:iCs w:val="0"/>
          <w:color w:val="auto"/>
          <w:kern w:val="2"/>
          <w:sz w:val="21"/>
          <w:szCs w:val="22"/>
          <w:lang w:val="en-US" w:eastAsia="zh-CN"/>
        </w:rPr>
        <w:t>Similar as NR-ARFCN, it should be noted that range of GSCN</w:t>
      </w:r>
      <w:r>
        <w:rPr>
          <w:rFonts w:hint="eastAsia" w:ascii="Times New Roman" w:hAnsi="Times New Roman" w:eastAsia="宋体"/>
          <w:b w:val="0"/>
          <w:color w:val="auto"/>
          <w:kern w:val="2"/>
          <w:sz w:val="21"/>
          <w:szCs w:val="22"/>
          <w:vertAlign w:val="baseline"/>
          <w:lang w:val="en-US" w:eastAsia="zh-CN"/>
        </w:rPr>
        <w:t xml:space="preserve"> should fall into 3GHz to 24.25GHz instead of 24.25-52.6GHz. Therefore sync raster should be still 1.44MHz while with step size as 12 (17.28MHz) and 24 (34.56MHz) for 120kHz and 240kHz SSB.</w:t>
      </w:r>
    </w:p>
    <w:p>
      <w:pPr>
        <w:pStyle w:val="45"/>
        <w:rPr>
          <w:rFonts w:hint="eastAsia"/>
          <w:b/>
          <w:bCs/>
          <w:i w:val="0"/>
          <w:iCs w:val="0"/>
          <w:color w:val="auto"/>
          <w:u w:val="none"/>
          <w:lang w:val="en-US" w:eastAsia="zh-CN"/>
        </w:rPr>
      </w:pPr>
      <w:r>
        <w:rPr>
          <w:color w:val="auto"/>
        </w:rPr>
        <w:t xml:space="preserve">Table </w:t>
      </w:r>
      <w:r>
        <w:rPr>
          <w:rFonts w:hint="eastAsia"/>
          <w:color w:val="auto"/>
          <w:lang w:val="en-US" w:eastAsia="zh-CN"/>
        </w:rPr>
        <w:t>2</w:t>
      </w:r>
      <w:r>
        <w:rPr>
          <w:color w:val="auto"/>
        </w:rPr>
        <w:t>.4-</w:t>
      </w:r>
      <w:r>
        <w:rPr>
          <w:rFonts w:hint="eastAsia"/>
          <w:color w:val="auto"/>
          <w:lang w:val="en-US" w:eastAsia="zh-CN"/>
        </w:rPr>
        <w:t>3</w:t>
      </w:r>
      <w:r>
        <w:rPr>
          <w:color w:val="auto"/>
        </w:rPr>
        <w:t xml:space="preserve">: </w:t>
      </w:r>
      <w:r>
        <w:rPr>
          <w:rFonts w:eastAsia="Yu Mincho"/>
          <w:color w:val="auto"/>
        </w:rPr>
        <w:t>GSCN parameters for the global frequency raster</w:t>
      </w:r>
    </w:p>
    <w:tbl>
      <w:tblPr>
        <w:tblStyle w:val="24"/>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tcPr>
          <w:p>
            <w:pPr>
              <w:pStyle w:val="36"/>
              <w:rPr>
                <w:b/>
                <w:color w:val="auto"/>
              </w:rPr>
            </w:pPr>
            <w:r>
              <w:rPr>
                <w:color w:val="auto"/>
              </w:rPr>
              <w:t>3000 – 24250 MHz</w:t>
            </w:r>
          </w:p>
        </w:tc>
        <w:tc>
          <w:tcPr>
            <w:tcW w:w="3534" w:type="dxa"/>
            <w:shd w:val="clear" w:color="auto" w:fill="auto"/>
          </w:tcPr>
          <w:p>
            <w:pPr>
              <w:pStyle w:val="36"/>
              <w:rPr>
                <w:color w:val="auto"/>
              </w:rPr>
            </w:pPr>
            <w:r>
              <w:rPr>
                <w:color w:val="auto"/>
              </w:rPr>
              <w:t>3000 MHz + N * 1.44 MHz</w:t>
            </w:r>
          </w:p>
          <w:p>
            <w:pPr>
              <w:pStyle w:val="36"/>
              <w:rPr>
                <w:b/>
                <w:color w:val="auto"/>
              </w:rPr>
            </w:pPr>
            <w:r>
              <w:rPr>
                <w:color w:val="auto"/>
              </w:rPr>
              <w:t>N = 0:14756</w:t>
            </w:r>
          </w:p>
        </w:tc>
        <w:tc>
          <w:tcPr>
            <w:tcW w:w="1927" w:type="dxa"/>
          </w:tcPr>
          <w:p>
            <w:pPr>
              <w:pStyle w:val="36"/>
              <w:rPr>
                <w:color w:val="auto"/>
              </w:rPr>
            </w:pPr>
            <w:r>
              <w:rPr>
                <w:color w:val="auto"/>
              </w:rPr>
              <w:t>7499 + N</w:t>
            </w:r>
          </w:p>
        </w:tc>
        <w:tc>
          <w:tcPr>
            <w:tcW w:w="1995" w:type="dxa"/>
            <w:shd w:val="clear" w:color="auto" w:fill="auto"/>
          </w:tcPr>
          <w:p>
            <w:pPr>
              <w:pStyle w:val="36"/>
              <w:rPr>
                <w:b/>
                <w:color w:val="auto"/>
              </w:rPr>
            </w:pPr>
            <w:r>
              <w:rPr>
                <w:color w:val="auto"/>
              </w:rP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4"/>
            <w:shd w:val="clear" w:color="auto" w:fill="auto"/>
            <w:vAlign w:val="center"/>
          </w:tcPr>
          <w:p>
            <w:pPr>
              <w:pStyle w:val="48"/>
              <w:rPr>
                <w:color w:val="auto"/>
              </w:rPr>
            </w:pPr>
            <w:r>
              <w:rPr>
                <w:color w:val="auto"/>
              </w:rPr>
              <w:t>NOTE 1:</w:t>
            </w:r>
            <w:r>
              <w:rPr>
                <w:color w:val="auto"/>
              </w:rPr>
              <w:tab/>
            </w:r>
            <w:r>
              <w:rPr>
                <w:color w:val="auto"/>
              </w:rPr>
              <w:t xml:space="preserve">The default value for operating bands with </w:t>
            </w:r>
            <w:r>
              <w:rPr>
                <w:rFonts w:hint="eastAsia"/>
                <w:color w:val="auto"/>
                <w:lang w:eastAsia="zh-CN"/>
              </w:rPr>
              <w:t>which only support</w:t>
            </w:r>
            <w:r>
              <w:rPr>
                <w:rFonts w:hint="eastAsia"/>
                <w:color w:val="auto"/>
              </w:rPr>
              <w:t xml:space="preserve"> </w:t>
            </w:r>
            <w:r>
              <w:rPr>
                <w:color w:val="auto"/>
              </w:rPr>
              <w:t>SCS spaced channel raster(s) is M=3.</w:t>
            </w:r>
          </w:p>
        </w:tc>
      </w:tr>
    </w:tbl>
    <w:p>
      <w:pPr>
        <w:keepNext/>
        <w:keepLines/>
        <w:pageBreakBefore w:val="0"/>
        <w:widowControl/>
        <w:suppressLineNumbers w:val="0"/>
        <w:kinsoku/>
        <w:wordWrap/>
        <w:topLinePunct w:val="0"/>
        <w:bidi w:val="0"/>
        <w:ind w:firstLine="0" w:firstLineChars="0"/>
        <w:jc w:val="both"/>
        <w:rPr>
          <w:rFonts w:hint="eastAsia"/>
          <w:b/>
          <w:bCs/>
          <w:i w:val="0"/>
          <w:iCs w:val="0"/>
          <w:color w:val="auto"/>
          <w:u w:val="none"/>
          <w:lang w:val="en-US" w:eastAsia="zh-CN"/>
        </w:rPr>
      </w:pPr>
    </w:p>
    <w:tbl>
      <w:tblPr>
        <w:tblStyle w:val="24"/>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shd w:val="clear" w:color="auto" w:fill="auto"/>
          </w:tcPr>
          <w:p>
            <w:pPr>
              <w:pStyle w:val="36"/>
              <w:rPr>
                <w:b/>
                <w:color w:val="auto"/>
              </w:rPr>
            </w:pPr>
            <w:r>
              <w:rPr>
                <w:rFonts w:hint="eastAsia" w:cs="Arial"/>
                <w:color w:val="auto"/>
                <w:lang w:val="en-US" w:eastAsia="zh-CN"/>
              </w:rPr>
              <w:t>19700</w:t>
            </w:r>
            <w:r>
              <w:rPr>
                <w:color w:val="auto"/>
                <w:lang w:val="en-US"/>
              </w:rPr>
              <w:t xml:space="preserve"> – </w:t>
            </w:r>
            <w:r>
              <w:rPr>
                <w:rFonts w:hint="eastAsia" w:cs="Arial"/>
                <w:color w:val="auto"/>
                <w:lang w:val="en-US" w:eastAsia="zh-CN"/>
              </w:rPr>
              <w:t>20200</w:t>
            </w:r>
            <w:r>
              <w:rPr>
                <w:color w:val="auto"/>
              </w:rPr>
              <w:t xml:space="preserve"> MHz</w:t>
            </w:r>
          </w:p>
        </w:tc>
        <w:tc>
          <w:tcPr>
            <w:tcW w:w="3534" w:type="dxa"/>
            <w:shd w:val="clear" w:color="auto" w:fill="auto"/>
          </w:tcPr>
          <w:p>
            <w:pPr>
              <w:pStyle w:val="36"/>
              <w:rPr>
                <w:color w:val="auto"/>
              </w:rPr>
            </w:pPr>
            <w:r>
              <w:rPr>
                <w:rFonts w:hint="eastAsia" w:eastAsia="宋体" w:cs="Times New Roman"/>
                <w:i w:val="0"/>
                <w:color w:val="auto"/>
                <w:kern w:val="0"/>
                <w:sz w:val="18"/>
                <w:szCs w:val="20"/>
                <w:u w:val="none"/>
                <w:lang w:val="en-US" w:eastAsia="zh-CN" w:bidi="ar-SA"/>
              </w:rPr>
              <w:t>3000MHz</w:t>
            </w:r>
            <w:r>
              <w:rPr>
                <w:color w:val="auto"/>
              </w:rPr>
              <w:t xml:space="preserve"> MHz + N *</w:t>
            </w:r>
            <w:r>
              <w:rPr>
                <w:rFonts w:hint="eastAsia" w:eastAsia="宋体"/>
                <w:color w:val="auto"/>
                <w:lang w:val="en-US" w:eastAsia="zh-CN"/>
              </w:rPr>
              <w:t>1.44</w:t>
            </w:r>
            <w:r>
              <w:rPr>
                <w:color w:val="auto"/>
              </w:rPr>
              <w:t xml:space="preserve"> MHz</w:t>
            </w:r>
          </w:p>
          <w:p>
            <w:pPr>
              <w:pStyle w:val="36"/>
              <w:rPr>
                <w:b/>
                <w:color w:val="auto"/>
              </w:rPr>
            </w:pPr>
            <w:r>
              <w:rPr>
                <w:rFonts w:hint="eastAsia" w:eastAsia="宋体"/>
                <w:color w:val="auto"/>
                <w:u w:val="none"/>
                <w:lang w:val="en-US" w:eastAsia="zh-CN"/>
              </w:rPr>
              <w:t>N = 11598:</w:t>
            </w:r>
            <w:r>
              <w:rPr>
                <w:rFonts w:hint="eastAsia" w:ascii="Arial" w:hAnsi="Arial" w:eastAsia="宋体" w:cs="Times New Roman"/>
                <w:i w:val="0"/>
                <w:color w:val="auto"/>
                <w:kern w:val="0"/>
                <w:sz w:val="18"/>
                <w:szCs w:val="20"/>
                <w:u w:val="none"/>
                <w:lang w:val="en-US" w:eastAsia="zh-CN" w:bidi="ar"/>
              </w:rPr>
              <w:t>11944</w:t>
            </w:r>
          </w:p>
        </w:tc>
        <w:tc>
          <w:tcPr>
            <w:tcW w:w="1927" w:type="dxa"/>
          </w:tcPr>
          <w:p>
            <w:pPr>
              <w:pStyle w:val="36"/>
              <w:rPr>
                <w:color w:val="auto"/>
              </w:rPr>
            </w:pPr>
            <w:r>
              <w:rPr>
                <w:color w:val="auto"/>
              </w:rPr>
              <w:t>7499 + N</w:t>
            </w:r>
          </w:p>
        </w:tc>
        <w:tc>
          <w:tcPr>
            <w:tcW w:w="1995" w:type="dxa"/>
            <w:shd w:val="clear" w:color="auto" w:fill="auto"/>
          </w:tcPr>
          <w:p>
            <w:pPr>
              <w:pStyle w:val="36"/>
              <w:rPr>
                <w:b/>
                <w:color w:val="auto"/>
              </w:rPr>
            </w:pPr>
            <w:r>
              <w:rPr>
                <w:rFonts w:hint="default" w:ascii="Arial" w:hAnsi="Arial" w:eastAsia="Times New Roman" w:cs="Times New Roman"/>
                <w:i w:val="0"/>
                <w:color w:val="auto"/>
                <w:kern w:val="0"/>
                <w:sz w:val="18"/>
                <w:szCs w:val="20"/>
                <w:u w:val="none"/>
                <w:lang w:val="en-US" w:eastAsia="zh-CN" w:bidi="ar"/>
              </w:rPr>
              <w:t>19097</w:t>
            </w:r>
            <w:r>
              <w:rPr>
                <w:color w:val="auto"/>
              </w:rPr>
              <w:t xml:space="preserve"> – </w:t>
            </w:r>
            <w:r>
              <w:rPr>
                <w:rFonts w:hint="default" w:ascii="Arial" w:hAnsi="Arial" w:eastAsia="Times New Roman" w:cs="Times New Roman"/>
                <w:i w:val="0"/>
                <w:color w:val="auto"/>
                <w:kern w:val="0"/>
                <w:sz w:val="18"/>
                <w:szCs w:val="20"/>
                <w:u w:val="none"/>
                <w:lang w:val="en-US" w:eastAsia="zh-CN" w:bidi="ar"/>
              </w:rPr>
              <w:t>19443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4"/>
            <w:shd w:val="clear" w:color="auto" w:fill="auto"/>
            <w:vAlign w:val="center"/>
          </w:tcPr>
          <w:p>
            <w:pPr>
              <w:pStyle w:val="48"/>
            </w:pPr>
            <w:r>
              <w:t>NOTE 1:</w:t>
            </w:r>
            <w:r>
              <w:tab/>
            </w:r>
            <w:r>
              <w:t xml:space="preserve">The default value for operating bands with </w:t>
            </w:r>
            <w:r>
              <w:rPr>
                <w:rFonts w:hint="eastAsia"/>
                <w:lang w:eastAsia="zh-CN"/>
              </w:rPr>
              <w:t>which only support</w:t>
            </w:r>
            <w:r>
              <w:rPr>
                <w:rFonts w:hint="eastAsia"/>
              </w:rPr>
              <w:t xml:space="preserve"> </w:t>
            </w:r>
            <w:r>
              <w:t>SCS spaced channel raster(s) is M=3.</w:t>
            </w:r>
          </w:p>
        </w:tc>
      </w:tr>
    </w:tbl>
    <w:p>
      <w:pPr>
        <w:keepNext/>
        <w:keepLines/>
        <w:pageBreakBefore w:val="0"/>
        <w:widowControl/>
        <w:suppressLineNumbers w:val="0"/>
        <w:kinsoku/>
        <w:wordWrap/>
        <w:topLinePunct w:val="0"/>
        <w:bidi w:val="0"/>
        <w:ind w:firstLine="0" w:firstLineChars="0"/>
        <w:jc w:val="both"/>
        <w:rPr>
          <w:rFonts w:hint="eastAsia"/>
          <w:b/>
          <w:bCs/>
          <w:i w:val="0"/>
          <w:iCs w:val="0"/>
          <w:u w:val="none"/>
          <w:lang w:val="en-US" w:eastAsia="zh-CN"/>
        </w:rPr>
      </w:pPr>
    </w:p>
    <w:p>
      <w:pPr>
        <w:pStyle w:val="45"/>
        <w:rPr>
          <w:rFonts w:hint="default"/>
          <w:b/>
          <w:bCs/>
          <w:i w:val="0"/>
          <w:iCs w:val="0"/>
          <w:u w:val="none"/>
          <w:lang w:val="en-US" w:eastAsia="zh-CN"/>
        </w:rPr>
      </w:pPr>
      <w:r>
        <w:rPr>
          <w:rFonts w:hint="default"/>
          <w:b/>
          <w:bCs/>
          <w:i w:val="0"/>
          <w:iCs w:val="0"/>
          <w:lang w:val="en-US" w:eastAsia="zh-CN"/>
        </w:rPr>
        <w:t>Table 2.4.4. GSCN for NTN Ka-band</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3"/>
        <w:gridCol w:w="2441"/>
        <w:gridCol w:w="2395"/>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3" w:type="dxa"/>
            <w:tcBorders>
              <w:top w:val="single" w:color="auto" w:sz="4" w:space="0"/>
              <w:left w:val="single" w:color="auto" w:sz="4" w:space="0"/>
              <w:bottom w:val="single" w:color="auto" w:sz="4" w:space="0"/>
              <w:right w:val="single" w:color="auto" w:sz="4" w:space="0"/>
            </w:tcBorders>
          </w:tcPr>
          <w:p>
            <w:pPr>
              <w:pStyle w:val="35"/>
              <w:rPr>
                <w:rFonts w:eastAsia="Yu Mincho"/>
              </w:rPr>
            </w:pPr>
            <w:r>
              <w:rPr>
                <w:rFonts w:eastAsia="Yu Mincho"/>
              </w:rPr>
              <w:t>NR Operating Band</w:t>
            </w:r>
          </w:p>
        </w:tc>
        <w:tc>
          <w:tcPr>
            <w:tcW w:w="2441" w:type="dxa"/>
            <w:tcBorders>
              <w:top w:val="single" w:color="auto" w:sz="4" w:space="0"/>
              <w:left w:val="single" w:color="auto" w:sz="4" w:space="0"/>
              <w:bottom w:val="single" w:color="auto" w:sz="4" w:space="0"/>
              <w:right w:val="single" w:color="auto" w:sz="4" w:space="0"/>
            </w:tcBorders>
          </w:tcPr>
          <w:p>
            <w:pPr>
              <w:pStyle w:val="35"/>
              <w:rPr>
                <w:rFonts w:eastAsia="Yu Mincho"/>
                <w:lang w:eastAsia="ja-JP"/>
              </w:rPr>
            </w:pPr>
            <w:r>
              <w:rPr>
                <w:rFonts w:eastAsia="Yu Mincho"/>
              </w:rPr>
              <w:t>SS Block SCS</w:t>
            </w:r>
          </w:p>
        </w:tc>
        <w:tc>
          <w:tcPr>
            <w:tcW w:w="2395" w:type="dxa"/>
            <w:tcBorders>
              <w:top w:val="single" w:color="auto" w:sz="4" w:space="0"/>
              <w:left w:val="single" w:color="auto" w:sz="4" w:space="0"/>
              <w:bottom w:val="single" w:color="auto" w:sz="4" w:space="0"/>
              <w:right w:val="single" w:color="auto" w:sz="4" w:space="0"/>
            </w:tcBorders>
          </w:tcPr>
          <w:p>
            <w:pPr>
              <w:pStyle w:val="35"/>
              <w:rPr>
                <w:rFonts w:eastAsia="Yu Mincho"/>
              </w:rPr>
            </w:pPr>
            <w:r>
              <w:rPr>
                <w:rFonts w:eastAsia="Yu Mincho"/>
              </w:rPr>
              <w:t>SS Block pattern</w:t>
            </w:r>
            <w:r>
              <w:rPr>
                <w:rFonts w:eastAsia="Yu Mincho"/>
                <w:vertAlign w:val="superscript"/>
              </w:rPr>
              <w:t>1</w:t>
            </w:r>
          </w:p>
        </w:tc>
        <w:tc>
          <w:tcPr>
            <w:tcW w:w="2720" w:type="dxa"/>
            <w:tcBorders>
              <w:top w:val="single" w:color="auto" w:sz="4" w:space="0"/>
              <w:left w:val="single" w:color="auto" w:sz="4" w:space="0"/>
              <w:bottom w:val="single" w:color="auto" w:sz="4" w:space="0"/>
              <w:right w:val="single" w:color="auto" w:sz="4" w:space="0"/>
            </w:tcBorders>
          </w:tcPr>
          <w:p>
            <w:pPr>
              <w:pStyle w:val="35"/>
              <w:rPr>
                <w:rFonts w:eastAsia="Yu Mincho"/>
                <w:vertAlign w:val="subscript"/>
              </w:rPr>
            </w:pPr>
            <w:r>
              <w:rPr>
                <w:rFonts w:eastAsia="Yu Mincho"/>
              </w:rPr>
              <w:t>Range of GSCN</w:t>
            </w:r>
          </w:p>
          <w:p>
            <w:pPr>
              <w:pStyle w:val="35"/>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3" w:type="dxa"/>
            <w:tcBorders>
              <w:top w:val="single" w:color="auto" w:sz="4" w:space="0"/>
              <w:left w:val="single" w:color="auto" w:sz="4" w:space="0"/>
              <w:bottom w:val="nil"/>
              <w:right w:val="single" w:color="auto" w:sz="4" w:space="0"/>
            </w:tcBorders>
            <w:shd w:val="clear" w:color="auto" w:fill="auto"/>
            <w:vAlign w:val="center"/>
          </w:tcPr>
          <w:p>
            <w:pPr>
              <w:pStyle w:val="36"/>
              <w:rPr>
                <w:rFonts w:hint="eastAsia" w:eastAsia="宋体"/>
                <w:lang w:val="en-US" w:eastAsia="zh-CN"/>
              </w:rPr>
            </w:pPr>
            <w:r>
              <w:rPr>
                <w:rFonts w:hint="eastAsia" w:eastAsia="宋体"/>
                <w:lang w:val="en-US" w:eastAsia="zh-CN"/>
              </w:rPr>
              <w:t>[</w:t>
            </w:r>
            <w:r>
              <w:t>n</w:t>
            </w:r>
            <w:r>
              <w:rPr>
                <w:rFonts w:hint="eastAsia" w:eastAsia="宋体"/>
                <w:lang w:val="en-US" w:eastAsia="zh-CN"/>
              </w:rPr>
              <w:t>512]</w:t>
            </w:r>
          </w:p>
        </w:tc>
        <w:tc>
          <w:tcPr>
            <w:tcW w:w="2441" w:type="dxa"/>
            <w:tcBorders>
              <w:top w:val="single" w:color="auto" w:sz="4" w:space="0"/>
              <w:left w:val="single" w:color="auto" w:sz="4" w:space="0"/>
              <w:bottom w:val="single" w:color="auto" w:sz="4" w:space="0"/>
              <w:right w:val="single" w:color="auto" w:sz="4" w:space="0"/>
            </w:tcBorders>
          </w:tcPr>
          <w:p>
            <w:pPr>
              <w:pStyle w:val="36"/>
              <w:rPr>
                <w:lang w:val="en-US" w:eastAsia="ja-JP"/>
              </w:rPr>
            </w:pPr>
            <w:r>
              <w:t>120 kHz</w:t>
            </w:r>
          </w:p>
        </w:tc>
        <w:tc>
          <w:tcPr>
            <w:tcW w:w="2395" w:type="dxa"/>
            <w:tcBorders>
              <w:top w:val="single" w:color="auto" w:sz="4" w:space="0"/>
              <w:left w:val="single" w:color="auto" w:sz="4" w:space="0"/>
              <w:bottom w:val="single" w:color="auto" w:sz="4" w:space="0"/>
              <w:right w:val="single" w:color="auto" w:sz="4" w:space="0"/>
            </w:tcBorders>
          </w:tcPr>
          <w:p>
            <w:pPr>
              <w:pStyle w:val="36"/>
            </w:pPr>
            <w:r>
              <w:t>Case D</w:t>
            </w:r>
          </w:p>
        </w:tc>
        <w:tc>
          <w:tcPr>
            <w:tcW w:w="2720" w:type="dxa"/>
            <w:tcBorders>
              <w:top w:val="single" w:color="auto" w:sz="4" w:space="0"/>
              <w:left w:val="single" w:color="auto" w:sz="4" w:space="0"/>
              <w:bottom w:val="single" w:color="auto" w:sz="4" w:space="0"/>
              <w:right w:val="single" w:color="auto" w:sz="4" w:space="0"/>
            </w:tcBorders>
          </w:tcPr>
          <w:p>
            <w:pPr>
              <w:pStyle w:val="36"/>
              <w:rPr>
                <w:rFonts w:hint="default" w:eastAsia="宋体"/>
                <w:lang w:val="en-US" w:eastAsia="zh-CN"/>
              </w:rPr>
            </w:pPr>
            <w:r>
              <w:rPr>
                <w:rFonts w:hint="eastAsia" w:eastAsia="宋体"/>
                <w:lang w:val="en-US" w:eastAsia="zh-CN"/>
              </w:rPr>
              <w:t>19108</w:t>
            </w:r>
            <w:r>
              <w:t>- &lt;</w:t>
            </w:r>
            <w:r>
              <w:rPr>
                <w:rFonts w:hint="eastAsia" w:eastAsia="宋体"/>
                <w:lang w:val="en-US" w:eastAsia="zh-CN"/>
              </w:rPr>
              <w:t>12</w:t>
            </w:r>
            <w:r>
              <w:t xml:space="preserve">&gt; - </w:t>
            </w:r>
            <w:r>
              <w:rPr>
                <w:rFonts w:hint="eastAsia" w:eastAsia="宋体"/>
                <w:lang w:val="en-US" w:eastAsia="zh-CN"/>
              </w:rPr>
              <w:t>19432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3" w:type="dxa"/>
            <w:tcBorders>
              <w:top w:val="nil"/>
              <w:left w:val="single" w:color="auto" w:sz="4" w:space="0"/>
              <w:bottom w:val="single" w:color="auto" w:sz="4" w:space="0"/>
              <w:right w:val="single" w:color="auto" w:sz="4" w:space="0"/>
            </w:tcBorders>
            <w:shd w:val="clear" w:color="auto" w:fill="auto"/>
            <w:vAlign w:val="center"/>
          </w:tcPr>
          <w:p>
            <w:pPr>
              <w:pStyle w:val="36"/>
              <w:rPr>
                <w:rFonts w:eastAsia="Yu Mincho"/>
              </w:rPr>
            </w:pPr>
          </w:p>
        </w:tc>
        <w:tc>
          <w:tcPr>
            <w:tcW w:w="2441" w:type="dxa"/>
            <w:tcBorders>
              <w:top w:val="single" w:color="auto" w:sz="4" w:space="0"/>
              <w:left w:val="single" w:color="auto" w:sz="4" w:space="0"/>
              <w:bottom w:val="single" w:color="auto" w:sz="4" w:space="0"/>
              <w:right w:val="single" w:color="auto" w:sz="4" w:space="0"/>
            </w:tcBorders>
          </w:tcPr>
          <w:p>
            <w:pPr>
              <w:pStyle w:val="36"/>
              <w:rPr>
                <w:lang w:val="en-US" w:eastAsia="ja-JP"/>
              </w:rPr>
            </w:pPr>
            <w:r>
              <w:t>240 kHz</w:t>
            </w:r>
          </w:p>
        </w:tc>
        <w:tc>
          <w:tcPr>
            <w:tcW w:w="2395" w:type="dxa"/>
            <w:tcBorders>
              <w:top w:val="single" w:color="auto" w:sz="4" w:space="0"/>
              <w:left w:val="single" w:color="auto" w:sz="4" w:space="0"/>
              <w:bottom w:val="single" w:color="auto" w:sz="4" w:space="0"/>
              <w:right w:val="single" w:color="auto" w:sz="4" w:space="0"/>
            </w:tcBorders>
          </w:tcPr>
          <w:p>
            <w:pPr>
              <w:pStyle w:val="36"/>
            </w:pPr>
            <w:r>
              <w:t>Case E</w:t>
            </w:r>
          </w:p>
        </w:tc>
        <w:tc>
          <w:tcPr>
            <w:tcW w:w="2720" w:type="dxa"/>
            <w:tcBorders>
              <w:top w:val="single" w:color="auto" w:sz="4" w:space="0"/>
              <w:left w:val="single" w:color="auto" w:sz="4" w:space="0"/>
              <w:bottom w:val="single" w:color="auto" w:sz="4" w:space="0"/>
              <w:right w:val="single" w:color="auto" w:sz="4" w:space="0"/>
            </w:tcBorders>
          </w:tcPr>
          <w:p>
            <w:pPr>
              <w:pStyle w:val="36"/>
              <w:rPr>
                <w:rFonts w:hint="default" w:eastAsia="宋体"/>
                <w:lang w:val="en-US" w:eastAsia="zh-CN"/>
              </w:rPr>
            </w:pPr>
            <w:r>
              <w:rPr>
                <w:rFonts w:hint="eastAsia" w:eastAsia="宋体"/>
                <w:lang w:val="en-US" w:eastAsia="zh-CN"/>
              </w:rPr>
              <w:t>19119</w:t>
            </w:r>
            <w:r>
              <w:t xml:space="preserve"> - &lt;</w:t>
            </w:r>
            <w:r>
              <w:rPr>
                <w:rFonts w:hint="eastAsia" w:eastAsia="宋体"/>
                <w:lang w:val="en-US" w:eastAsia="zh-CN"/>
              </w:rPr>
              <w:t>24</w:t>
            </w:r>
            <w:r>
              <w:t xml:space="preserve">&gt; - </w:t>
            </w:r>
            <w:r>
              <w:rPr>
                <w:rFonts w:hint="eastAsia" w:eastAsia="宋体"/>
                <w:lang w:val="en-US" w:eastAsia="zh-CN"/>
              </w:rPr>
              <w:t>19407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Borders>
              <w:left w:val="single" w:color="auto" w:sz="4" w:space="0"/>
              <w:bottom w:val="single" w:color="auto" w:sz="4" w:space="0"/>
              <w:right w:val="single" w:color="auto" w:sz="4" w:space="0"/>
            </w:tcBorders>
          </w:tcPr>
          <w:p>
            <w:pPr>
              <w:pStyle w:val="48"/>
            </w:pPr>
            <w:r>
              <w:t>NOTE 1:</w:t>
            </w:r>
            <w:r>
              <w:tab/>
            </w:r>
            <w:r>
              <w:t>SS Block pattern is defined in clause 4.1 in TS 38.213 [10].</w:t>
            </w:r>
          </w:p>
          <w:p>
            <w:pPr>
              <w:pStyle w:val="48"/>
              <w:ind w:left="0" w:firstLine="0"/>
              <w:rPr>
                <w:lang w:eastAsia="zh-CN"/>
              </w:rPr>
            </w:pPr>
            <w:r>
              <w:rPr>
                <w:rFonts w:hint="eastAsia"/>
                <w:lang w:eastAsia="zh-CN"/>
              </w:rPr>
              <w:t>N</w:t>
            </w:r>
            <w:r>
              <w:rPr>
                <w:lang w:eastAsia="zh-CN"/>
              </w:rPr>
              <w:t xml:space="preserve">OTE 2: </w:t>
            </w:r>
            <w:r>
              <w:rPr>
                <w:rFonts w:hint="eastAsia"/>
                <w:lang w:val="en-US" w:eastAsia="zh-CN"/>
              </w:rPr>
              <w:t xml:space="preserve"> Step size 12 equal to 17.28MHz by 1.44MHz*12 and step size 24 equals to 34.56MHz by 1.44MHz*24.</w:t>
            </w:r>
          </w:p>
        </w:tc>
      </w:tr>
      <w:bookmarkEnd w:id="26"/>
    </w:tbl>
    <w:p>
      <w:pPr>
        <w:spacing w:before="120" w:beforeLines="0" w:after="120" w:afterLines="0"/>
        <w:ind w:firstLine="0" w:firstLineChars="0"/>
        <w:jc w:val="left"/>
        <w:rPr>
          <w:rFonts w:hint="eastAsia" w:eastAsia="Times New Roman" w:cs="Times New Roman"/>
          <w:kern w:val="0"/>
          <w:sz w:val="20"/>
          <w:szCs w:val="20"/>
          <w:highlight w:val="none"/>
          <w:lang w:val="en-US" w:eastAsia="zh-CN" w:bidi="ar-SA"/>
        </w:rPr>
      </w:pPr>
      <w:r>
        <w:rPr>
          <w:rFonts w:hint="eastAsia"/>
          <w:b/>
          <w:bCs/>
          <w:i w:val="0"/>
          <w:iCs w:val="0"/>
          <w:lang w:val="en-US" w:eastAsia="zh-CN"/>
        </w:rPr>
        <w:t>Proposal 8:</w:t>
      </w:r>
      <w:r>
        <w:rPr>
          <w:rFonts w:hint="eastAsia"/>
          <w:b w:val="0"/>
          <w:bCs w:val="0"/>
          <w:i w:val="0"/>
          <w:iCs w:val="0"/>
          <w:lang w:val="en-US" w:eastAsia="zh-CN"/>
        </w:rPr>
        <w:t xml:space="preserve"> to use following GSCN in the Table 2.4-3/2.4-4 for NTN Ka-band MSS-band.</w:t>
      </w:r>
    </w:p>
    <w:p>
      <w:pPr>
        <w:spacing w:before="120" w:beforeLines="0" w:after="120" w:afterLines="0"/>
        <w:ind w:firstLine="0" w:firstLineChars="0"/>
        <w:jc w:val="left"/>
        <w:rPr>
          <w:rFonts w:hint="default"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In addition, it should be noted that NTN Ka-band is not belonging to any FR1 or FR2 definition. From our understanding, if we want to apply SSB block pattern D and SSB pattern E for NTN Ka-band, some updates in TS 38.213 is needed at least.</w:t>
      </w:r>
    </w:p>
    <w:p>
      <w:pPr>
        <w:spacing w:before="120" w:beforeLines="0" w:after="120" w:afterLines="0"/>
        <w:ind w:firstLine="0" w:firstLineChars="0"/>
        <w:jc w:val="left"/>
        <w:rPr>
          <w:rFonts w:hint="default" w:eastAsia="Times New Roman" w:cs="Times New Roman"/>
          <w:kern w:val="0"/>
          <w:sz w:val="20"/>
          <w:szCs w:val="20"/>
          <w:highlight w:val="none"/>
          <w:lang w:val="en-US" w:eastAsia="zh-CN" w:bidi="ar-SA"/>
        </w:rPr>
      </w:pPr>
      <w:r>
        <w:rPr>
          <w:rFonts w:hint="eastAsia" w:eastAsia="Times New Roman" w:cs="Times New Roman"/>
          <w:kern w:val="0"/>
          <w:sz w:val="20"/>
          <w:szCs w:val="20"/>
          <w:highlight w:val="none"/>
          <w:lang w:val="en-US" w:eastAsia="zh-CN" w:bidi="ar-SA"/>
        </w:rPr>
        <w:t xml:space="preserve">In addition, </w:t>
      </w:r>
    </w:p>
    <w:p>
      <w:pPr>
        <w:pStyle w:val="50"/>
        <w:rPr>
          <w:lang w:eastAsia="ja-JP"/>
        </w:rPr>
      </w:pPr>
      <w:r>
        <w:rPr>
          <w:lang w:eastAsia="ja-JP"/>
        </w:rPr>
        <w:t>-</w:t>
      </w:r>
      <w:r>
        <w:rPr>
          <w:lang w:eastAsia="ja-JP"/>
        </w:rPr>
        <w:tab/>
      </w:r>
      <w:r>
        <w:rPr>
          <w:lang w:eastAsia="ja-JP"/>
        </w:rPr>
        <w:t xml:space="preserve">Case D - 120 kHz </w:t>
      </w:r>
      <w:r>
        <w:t>SCS</w:t>
      </w:r>
      <w:r>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4,8,16,20</m:t>
            </m:r>
            <m:ctrlPr>
              <w:rPr>
                <w:rFonts w:ascii="Cambria Math" w:hAnsi="Cambria Math"/>
                <w:i/>
                <w:lang w:eastAsia="ja-JP"/>
              </w:rPr>
            </m:ctrlPr>
          </m:e>
        </m:d>
        <m:r>
          <w:rPr>
            <w:rFonts w:ascii="Cambria Math"/>
          </w:rPr>
          <m:t>+28</m:t>
        </m:r>
        <m:r>
          <w:rPr>
            <w:rFonts w:ascii="Cambria Math" w:hAnsi="Cambria Math" w:cs="Cambria Math"/>
          </w:rPr>
          <m:t>⋅</m:t>
        </m:r>
        <m:r>
          <w:rPr>
            <w:rFonts w:ascii="Cambria Math"/>
          </w:rPr>
          <m:t>n</m:t>
        </m:r>
      </m:oMath>
      <w:r>
        <w:t xml:space="preserve">. For carrier frequencies </w:t>
      </w:r>
      <w:r>
        <w:rPr>
          <w:lang w:val="en-US"/>
        </w:rPr>
        <w:t>within FR2</w:t>
      </w:r>
      <w:r>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Pr>
          <w:lang w:eastAsia="ja-JP"/>
        </w:rPr>
        <w:t>.</w:t>
      </w:r>
    </w:p>
    <w:p>
      <w:pPr>
        <w:pStyle w:val="50"/>
      </w:pPr>
      <w:r>
        <w:rPr>
          <w:lang w:eastAsia="ja-JP"/>
        </w:rPr>
        <w:t>-</w:t>
      </w:r>
      <w:r>
        <w:rPr>
          <w:lang w:eastAsia="ja-JP"/>
        </w:rPr>
        <w:tab/>
      </w:r>
      <w:r>
        <w:rPr>
          <w:lang w:eastAsia="ja-JP"/>
        </w:rPr>
        <w:t xml:space="preserve">Case E - 240 kHz </w:t>
      </w:r>
      <w:r>
        <w:t>SCS</w:t>
      </w:r>
      <w:r>
        <w:rPr>
          <w:lang w:eastAsia="ja-JP"/>
        </w:rPr>
        <w:t xml:space="preserve">: the first symbols of the candidate SS/PBCH blocks have indexes </w:t>
      </w:r>
      <m:oMath>
        <m:d>
          <m:dPr>
            <m:begChr m:val="{"/>
            <m:endChr m:val="}"/>
            <m:ctrlPr>
              <w:rPr>
                <w:rFonts w:ascii="Cambria Math" w:hAnsi="Cambria Math"/>
                <w:i/>
                <w:lang w:eastAsia="ja-JP"/>
              </w:rPr>
            </m:ctrlPr>
          </m:dPr>
          <m:e>
            <m:r>
              <w:rPr>
                <w:rFonts w:ascii="Cambria Math" w:hAnsi="Cambria Math"/>
                <w:lang w:eastAsia="ja-JP"/>
              </w:rPr>
              <m:t>8,12,16,20,32,36,40,44</m:t>
            </m:r>
            <m:ctrlPr>
              <w:rPr>
                <w:rFonts w:ascii="Cambria Math" w:hAnsi="Cambria Math"/>
                <w:i/>
                <w:lang w:eastAsia="ja-JP"/>
              </w:rPr>
            </m:ctrlPr>
          </m:e>
        </m:d>
        <m:r>
          <w:rPr>
            <w:rFonts w:ascii="Cambria Math"/>
          </w:rPr>
          <m:t>+56</m:t>
        </m:r>
        <m:r>
          <w:rPr>
            <w:rFonts w:ascii="Cambria Math" w:hAnsi="Cambria Math" w:cs="Cambria Math"/>
          </w:rPr>
          <m:t>⋅</m:t>
        </m:r>
        <m:r>
          <w:rPr>
            <w:rFonts w:ascii="Cambria Math"/>
          </w:rPr>
          <m:t>n</m:t>
        </m:r>
      </m:oMath>
      <w:r>
        <w:rPr>
          <w:lang w:eastAsia="ja-JP"/>
        </w:rPr>
        <w:t xml:space="preserve">. </w:t>
      </w:r>
      <w:r>
        <w:t xml:space="preserve">For carrier frequencies </w:t>
      </w:r>
      <w:r>
        <w:rPr>
          <w:lang w:val="en-US"/>
        </w:rPr>
        <w:t>within FR2-1</w:t>
      </w:r>
      <w:r>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m:t>
        </m:r>
      </m:oMath>
      <w:r>
        <w:t>.</w:t>
      </w:r>
    </w:p>
    <w:p>
      <w:pPr>
        <w:spacing w:before="120" w:beforeLines="0" w:after="120" w:afterLines="0"/>
        <w:ind w:firstLine="0"/>
        <w:rPr>
          <w:rFonts w:hint="default"/>
          <w:lang w:val="en-US" w:eastAsia="zh-CN"/>
        </w:rPr>
      </w:pPr>
      <w:r>
        <w:rPr>
          <w:rFonts w:hint="eastAsia"/>
          <w:b/>
          <w:bCs/>
          <w:i w:val="0"/>
          <w:iCs w:val="0"/>
          <w:lang w:val="en-US" w:eastAsia="zh-CN"/>
        </w:rPr>
        <w:t>Proposal 9:</w:t>
      </w:r>
      <w:r>
        <w:rPr>
          <w:rFonts w:hint="eastAsia"/>
          <w:b w:val="0"/>
          <w:bCs w:val="0"/>
          <w:i w:val="0"/>
          <w:iCs w:val="0"/>
          <w:lang w:val="en-US" w:eastAsia="zh-CN"/>
        </w:rPr>
        <w:t xml:space="preserve"> to send LS to RAN1 to indicate the NTN Ka-band MSS-band support the Case D and Case E..</w:t>
      </w:r>
    </w:p>
    <w:bookmarkEnd w:id="4"/>
    <w:bookmarkEnd w:id="5"/>
    <w:bookmarkEnd w:id="6"/>
    <w:bookmarkEnd w:id="7"/>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eastAsia="zh-CN"/>
        </w:rPr>
        <w:t>from system parameter perspective for NTN Ka-band</w:t>
      </w:r>
      <w:r>
        <w:rPr>
          <w:rFonts w:hint="eastAsia" w:eastAsia="宋体"/>
          <w:lang w:val="en-US" w:eastAsia="zh-CN"/>
        </w:rPr>
        <w:t>.</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Lines="-2147483648" w:after="0" w:afterLines="-2147483648" w:line="240" w:lineRule="auto"/>
        <w:jc w:val="left"/>
        <w:textAlignment w:val="auto"/>
        <w:rPr>
          <w:rFonts w:hint="eastAsia"/>
          <w:b w:val="0"/>
          <w:bCs w:val="0"/>
          <w:lang w:val="en-US" w:eastAsia="zh-CN"/>
        </w:rPr>
      </w:pPr>
      <w:r>
        <w:rPr>
          <w:rFonts w:hint="eastAsia"/>
          <w:b/>
          <w:bCs/>
          <w:lang w:val="en-US" w:eastAsia="zh-CN"/>
        </w:rPr>
        <w:t xml:space="preserve">Proposal 1: </w:t>
      </w:r>
      <w:r>
        <w:rPr>
          <w:rFonts w:hint="eastAsia"/>
          <w:b w:val="0"/>
          <w:bCs w:val="0"/>
          <w:lang w:val="en-US" w:eastAsia="zh-CN"/>
        </w:rPr>
        <w:t>to define separate bands for FSS and MSS to enable some terminal access/barring mechanism.</w:t>
      </w:r>
    </w:p>
    <w:p>
      <w:pPr>
        <w:keepNext w:val="0"/>
        <w:keepLines w:val="0"/>
        <w:pageBreakBefore w:val="0"/>
        <w:widowControl/>
        <w:suppressLineNumbers w:val="0"/>
        <w:kinsoku/>
        <w:wordWrap/>
        <w:overflowPunct/>
        <w:topLinePunct w:val="0"/>
        <w:autoSpaceDE/>
        <w:autoSpaceDN/>
        <w:bidi w:val="0"/>
        <w:adjustRightInd/>
        <w:snapToGrid/>
        <w:spacing w:before="0" w:beforeLines="-2147483648" w:after="0" w:afterLines="-2147483648" w:line="240" w:lineRule="auto"/>
        <w:jc w:val="left"/>
        <w:textAlignment w:val="auto"/>
        <w:rPr>
          <w:rFonts w:hint="eastAsia"/>
          <w:b w:val="0"/>
          <w:bCs w:val="0"/>
          <w:lang w:val="en-US" w:eastAsia="zh-CN"/>
        </w:rPr>
      </w:pPr>
      <w:r>
        <w:rPr>
          <w:rFonts w:hint="eastAsia"/>
          <w:b/>
          <w:bCs/>
          <w:lang w:val="en-US" w:eastAsia="zh-CN"/>
        </w:rPr>
        <w:t>Proposal 2:</w:t>
      </w:r>
      <w:r>
        <w:rPr>
          <w:rFonts w:hint="eastAsia"/>
          <w:b w:val="0"/>
          <w:bCs w:val="0"/>
          <w:lang w:val="en-US" w:eastAsia="zh-CN"/>
        </w:rPr>
        <w:t xml:space="preserve"> to define MSS band (DL: 19.7-20.2GHz and UL: 29.5-30GHz) for Ka-band firstly and further discuss how to define FSS band; </w:t>
      </w:r>
    </w:p>
    <w:p>
      <w:pPr>
        <w:keepNext w:val="0"/>
        <w:keepLines w:val="0"/>
        <w:pageBreakBefore w:val="0"/>
        <w:widowControl/>
        <w:suppressLineNumbers w:val="0"/>
        <w:kinsoku/>
        <w:wordWrap/>
        <w:overflowPunct/>
        <w:topLinePunct w:val="0"/>
        <w:autoSpaceDE/>
        <w:autoSpaceDN/>
        <w:bidi w:val="0"/>
        <w:adjustRightInd/>
        <w:snapToGrid/>
        <w:spacing w:before="0" w:beforeLines="-2147483648" w:after="0" w:afterLines="-2147483648" w:line="240" w:lineRule="auto"/>
        <w:jc w:val="left"/>
        <w:textAlignment w:val="auto"/>
        <w:rPr>
          <w:rFonts w:hint="eastAsia"/>
          <w:b w:val="0"/>
          <w:bCs w:val="0"/>
          <w:lang w:val="en-US" w:eastAsia="zh-CN"/>
        </w:rPr>
      </w:pPr>
      <w:r>
        <w:rPr>
          <w:rFonts w:hint="eastAsia" w:cs="Times New Roman"/>
          <w:b/>
          <w:bCs/>
          <w:sz w:val="21"/>
          <w:szCs w:val="22"/>
          <w:lang w:val="en-US" w:eastAsia="zh-CN"/>
        </w:rPr>
        <w:t xml:space="preserve">Proposal 3: </w:t>
      </w:r>
      <w:r>
        <w:rPr>
          <w:rFonts w:hint="eastAsia" w:cs="Times New Roman"/>
          <w:b w:val="0"/>
          <w:bCs w:val="0"/>
          <w:sz w:val="21"/>
          <w:szCs w:val="22"/>
          <w:lang w:val="en-US" w:eastAsia="zh-CN"/>
        </w:rPr>
        <w:t xml:space="preserve">confirm to use band n512 for Ka-band MSS-band; </w:t>
      </w:r>
    </w:p>
    <w:p>
      <w:pPr>
        <w:widowControl/>
        <w:autoSpaceDE/>
        <w:autoSpaceDN/>
        <w:adjustRightInd/>
        <w:snapToGrid/>
        <w:spacing w:before="0" w:beforeLines="-2147483648" w:after="0" w:afterLines="-2147483648" w:line="240" w:lineRule="auto"/>
        <w:jc w:val="left"/>
        <w:rPr>
          <w:rFonts w:hint="default" w:cs="Times New Roman"/>
          <w:b w:val="0"/>
          <w:bCs w:val="0"/>
          <w:sz w:val="21"/>
          <w:szCs w:val="22"/>
          <w:lang w:val="en-US" w:eastAsia="zh-CN"/>
        </w:rPr>
      </w:pPr>
      <w:r>
        <w:rPr>
          <w:rFonts w:hint="eastAsia"/>
          <w:b/>
          <w:bCs/>
          <w:i w:val="0"/>
          <w:iCs w:val="0"/>
          <w:lang w:val="en-US" w:eastAsia="zh-CN"/>
        </w:rPr>
        <w:t xml:space="preserve">Proposal 4: </w:t>
      </w:r>
      <w:r>
        <w:rPr>
          <w:rFonts w:hint="eastAsia"/>
          <w:b w:val="0"/>
          <w:bCs w:val="0"/>
          <w:i w:val="0"/>
          <w:iCs w:val="0"/>
          <w:lang w:val="en-US" w:eastAsia="zh-CN"/>
        </w:rPr>
        <w:t xml:space="preserve">to define 400MHz channel bandwidth as optional channel for </w:t>
      </w:r>
      <w:r>
        <w:rPr>
          <w:rFonts w:hint="eastAsia" w:cs="Times New Roman"/>
          <w:b w:val="0"/>
          <w:bCs w:val="0"/>
          <w:sz w:val="21"/>
          <w:szCs w:val="22"/>
          <w:lang w:val="en-US" w:eastAsia="zh-CN"/>
        </w:rPr>
        <w:t>Ka-band MSS-band;</w:t>
      </w:r>
    </w:p>
    <w:p>
      <w:pPr>
        <w:keepNext w:val="0"/>
        <w:keepLines w:val="0"/>
        <w:pageBreakBefore w:val="0"/>
        <w:widowControl/>
        <w:suppressLineNumbers w:val="0"/>
        <w:kinsoku/>
        <w:wordWrap/>
        <w:topLinePunct w:val="0"/>
        <w:bidi w:val="0"/>
        <w:spacing w:before="0" w:beforeLines="0" w:after="0" w:afterLines="0"/>
        <w:ind w:firstLine="0" w:firstLineChars="0"/>
        <w:jc w:val="left"/>
        <w:rPr>
          <w:rFonts w:hint="default" w:cs="Times New Roman"/>
          <w:sz w:val="20"/>
          <w:szCs w:val="20"/>
          <w:lang w:val="en-US" w:eastAsia="zh-CN"/>
        </w:rPr>
      </w:pPr>
      <w:r>
        <w:rPr>
          <w:rFonts w:hint="eastAsia"/>
          <w:b/>
          <w:bCs/>
          <w:i w:val="0"/>
          <w:iCs w:val="0"/>
          <w:lang w:val="en-US" w:eastAsia="zh-CN"/>
        </w:rPr>
        <w:t>Proposal 5:</w:t>
      </w:r>
      <w:r>
        <w:rPr>
          <w:rFonts w:hint="eastAsia"/>
          <w:b w:val="0"/>
          <w:bCs w:val="0"/>
          <w:i w:val="0"/>
          <w:iCs w:val="0"/>
          <w:lang w:val="en-US" w:eastAsia="zh-CN"/>
        </w:rPr>
        <w:t xml:space="preserve"> not to define channel bandwidth beyond 400MHz for </w:t>
      </w:r>
      <w:r>
        <w:rPr>
          <w:rFonts w:hint="eastAsia" w:cs="Times New Roman"/>
          <w:sz w:val="20"/>
          <w:szCs w:val="20"/>
          <w:lang w:val="en-US" w:eastAsia="zh-CN"/>
        </w:rPr>
        <w:t>Ka-band MSS-band;</w:t>
      </w:r>
    </w:p>
    <w:p>
      <w:pPr>
        <w:keepNext w:val="0"/>
        <w:keepLines w:val="0"/>
        <w:pageBreakBefore w:val="0"/>
        <w:widowControl/>
        <w:suppressLineNumbers w:val="0"/>
        <w:kinsoku/>
        <w:wordWrap/>
        <w:topLinePunct w:val="0"/>
        <w:bidi w:val="0"/>
        <w:spacing w:before="0" w:beforeLines="0" w:after="0" w:afterLines="0"/>
        <w:ind w:firstLine="0" w:firstLineChars="0"/>
        <w:jc w:val="left"/>
        <w:rPr>
          <w:rFonts w:hint="default"/>
          <w:b w:val="0"/>
          <w:bCs w:val="0"/>
          <w:i w:val="0"/>
          <w:iCs w:val="0"/>
          <w:lang w:val="en-US" w:eastAsia="zh-CN"/>
        </w:rPr>
      </w:pPr>
      <w:r>
        <w:rPr>
          <w:rFonts w:hint="eastAsia"/>
          <w:b/>
          <w:bCs/>
          <w:i w:val="0"/>
          <w:iCs w:val="0"/>
          <w:lang w:val="en-US" w:eastAsia="zh-CN"/>
        </w:rPr>
        <w:t>Observation 1:</w:t>
      </w:r>
      <w:r>
        <w:rPr>
          <w:rFonts w:hint="eastAsia"/>
          <w:b w:val="0"/>
          <w:bCs w:val="0"/>
          <w:i w:val="0"/>
          <w:iCs w:val="0"/>
          <w:lang w:val="en-US" w:eastAsia="zh-CN"/>
        </w:rPr>
        <w:t xml:space="preserve"> the legacy</w:t>
      </w:r>
      <w:r>
        <w:rPr>
          <w:rFonts w:hint="eastAsia"/>
          <w:szCs w:val="24"/>
          <w:lang w:val="en-US" w:eastAsia="zh-CN"/>
        </w:rPr>
        <w:t xml:space="preserve"> restriction for Tx-Rx carrier center frequency separation might be not needed if there are no filtering or duplex between MSS-band DL and UL;</w:t>
      </w:r>
    </w:p>
    <w:p>
      <w:pPr>
        <w:keepNext w:val="0"/>
        <w:keepLines w:val="0"/>
        <w:pageBreakBefore w:val="0"/>
        <w:widowControl w:val="0"/>
        <w:suppressLineNumbers w:val="0"/>
        <w:kinsoku/>
        <w:wordWrap/>
        <w:topLinePunct w:val="0"/>
        <w:bidi w:val="0"/>
        <w:spacing w:before="0" w:beforeLines="0" w:after="0" w:afterLines="0"/>
        <w:ind w:firstLine="0" w:firstLineChars="0"/>
        <w:jc w:val="left"/>
        <w:rPr>
          <w:rFonts w:hint="default" w:cs="Times New Roman"/>
          <w:sz w:val="20"/>
          <w:szCs w:val="20"/>
          <w:lang w:val="en-US" w:eastAsia="zh-CN"/>
        </w:rPr>
      </w:pPr>
      <w:r>
        <w:rPr>
          <w:rFonts w:hint="eastAsia"/>
          <w:b/>
          <w:bCs/>
          <w:i w:val="0"/>
          <w:iCs w:val="0"/>
          <w:sz w:val="20"/>
          <w:szCs w:val="20"/>
          <w:u w:val="none"/>
          <w:lang w:val="en-US" w:eastAsia="zh-CN"/>
        </w:rPr>
        <w:t>Proposal 6:</w:t>
      </w:r>
      <w:r>
        <w:rPr>
          <w:rFonts w:hint="eastAsia"/>
          <w:b w:val="0"/>
          <w:bCs w:val="0"/>
          <w:i w:val="0"/>
          <w:iCs w:val="0"/>
          <w:sz w:val="20"/>
          <w:szCs w:val="20"/>
          <w:u w:val="none"/>
          <w:lang w:val="en-US" w:eastAsia="zh-CN"/>
        </w:rPr>
        <w:t xml:space="preserve"> to reuse the same spectral utilization requirement of FR2 TN system for NTN Ka-band.;</w:t>
      </w:r>
    </w:p>
    <w:p>
      <w:pPr>
        <w:keepNext w:val="0"/>
        <w:keepLines w:val="0"/>
        <w:pageBreakBefore w:val="0"/>
        <w:widowControl w:val="0"/>
        <w:suppressLineNumbers w:val="0"/>
        <w:kinsoku/>
        <w:wordWrap/>
        <w:topLinePunct w:val="0"/>
        <w:bidi w:val="0"/>
        <w:snapToGrid/>
        <w:spacing w:beforeLines="0" w:afterLines="0"/>
        <w:jc w:val="left"/>
        <w:rPr>
          <w:rFonts w:hint="default"/>
          <w:b w:val="0"/>
          <w:bCs w:val="0"/>
          <w:i w:val="0"/>
          <w:iCs w:val="0"/>
          <w:lang w:val="en-US" w:eastAsia="zh-CN"/>
        </w:rPr>
      </w:pPr>
      <w:r>
        <w:rPr>
          <w:rFonts w:hint="eastAsia"/>
          <w:b/>
          <w:bCs/>
          <w:i w:val="0"/>
          <w:iCs w:val="0"/>
          <w:lang w:val="en-US" w:eastAsia="zh-CN"/>
        </w:rPr>
        <w:t>Proposal 7:</w:t>
      </w:r>
      <w:r>
        <w:rPr>
          <w:rFonts w:hint="eastAsia"/>
          <w:b w:val="0"/>
          <w:bCs w:val="0"/>
          <w:i w:val="0"/>
          <w:iCs w:val="0"/>
          <w:lang w:val="en-US" w:eastAsia="zh-CN"/>
        </w:rPr>
        <w:t xml:space="preserve"> to use following NR-ARFCN in the Table 2.4-1/2.4-2 for NTN Ka-band MSS-band;</w:t>
      </w:r>
    </w:p>
    <w:p>
      <w:pPr>
        <w:keepNext w:val="0"/>
        <w:keepLines w:val="0"/>
        <w:pageBreakBefore w:val="0"/>
        <w:widowControl/>
        <w:suppressLineNumbers w:val="0"/>
        <w:kinsoku/>
        <w:wordWrap/>
        <w:topLinePunct w:val="0"/>
        <w:bidi w:val="0"/>
        <w:snapToGrid/>
        <w:spacing w:before="0" w:beforeLines="0" w:after="0" w:afterLines="0"/>
        <w:jc w:val="left"/>
        <w:rPr>
          <w:rFonts w:hint="default"/>
          <w:b w:val="0"/>
          <w:bCs w:val="0"/>
          <w:i w:val="0"/>
          <w:iCs w:val="0"/>
          <w:lang w:val="en-US" w:eastAsia="zh-CN"/>
        </w:rPr>
      </w:pPr>
      <w:r>
        <w:rPr>
          <w:rFonts w:hint="eastAsia"/>
          <w:b/>
          <w:bCs/>
          <w:i w:val="0"/>
          <w:iCs w:val="0"/>
          <w:lang w:val="en-US" w:eastAsia="zh-CN"/>
        </w:rPr>
        <w:t>Proposal 8:</w:t>
      </w:r>
      <w:r>
        <w:rPr>
          <w:rFonts w:hint="eastAsia"/>
          <w:b w:val="0"/>
          <w:bCs w:val="0"/>
          <w:i w:val="0"/>
          <w:iCs w:val="0"/>
          <w:lang w:val="en-US" w:eastAsia="zh-CN"/>
        </w:rPr>
        <w:t xml:space="preserve"> to use following GSCN in the Table 2.4-3/2.4-4 for NTN Ka-band MSS-band;</w:t>
      </w:r>
    </w:p>
    <w:p>
      <w:pPr>
        <w:keepNext w:val="0"/>
        <w:keepLines w:val="0"/>
        <w:pageBreakBefore w:val="0"/>
        <w:widowControl/>
        <w:suppressLineNumbers w:val="0"/>
        <w:kinsoku/>
        <w:wordWrap/>
        <w:topLinePunct w:val="0"/>
        <w:bidi w:val="0"/>
        <w:snapToGrid/>
        <w:spacing w:before="0" w:beforeLines="0" w:after="0" w:afterLines="0"/>
        <w:jc w:val="left"/>
        <w:rPr>
          <w:rFonts w:hint="eastAsia"/>
          <w:b w:val="0"/>
          <w:bCs w:val="0"/>
          <w:i w:val="0"/>
          <w:iCs w:val="0"/>
          <w:lang w:val="en-US" w:eastAsia="zh-CN"/>
        </w:rPr>
      </w:pPr>
      <w:r>
        <w:rPr>
          <w:rFonts w:hint="eastAsia"/>
          <w:b/>
          <w:bCs/>
          <w:i w:val="0"/>
          <w:iCs w:val="0"/>
          <w:lang w:val="en-US" w:eastAsia="zh-CN"/>
        </w:rPr>
        <w:t>Proposal 9:</w:t>
      </w:r>
      <w:r>
        <w:rPr>
          <w:rFonts w:hint="eastAsia"/>
          <w:b w:val="0"/>
          <w:bCs w:val="0"/>
          <w:i w:val="0"/>
          <w:iCs w:val="0"/>
          <w:lang w:val="en-US" w:eastAsia="zh-CN"/>
        </w:rPr>
        <w:t xml:space="preserve"> to send LS to RAN1 to indicate the NTN Ka-band MSS-band support the Case D and Case E.</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5"/>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RP-221819, Core part: NR NTN (Non-Terrestrial Networks) enhancements</w:t>
      </w:r>
      <w:r>
        <w:rPr>
          <w:rFonts w:hint="eastAsia" w:cs="Times New Roman"/>
          <w:sz w:val="20"/>
          <w:szCs w:val="20"/>
          <w:highlight w:val="none"/>
          <w:lang w:val="en-US" w:eastAsia="zh-CN"/>
        </w:rPr>
        <w:t>, Thales, Approved.</w:t>
      </w:r>
    </w:p>
    <w:p>
      <w:pPr>
        <w:pStyle w:val="53"/>
        <w:numPr>
          <w:ilvl w:val="0"/>
          <w:numId w:val="5"/>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RP-222654</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Core part: NR NTN (Non-Terrestrial Networks) enhancements</w:t>
      </w:r>
      <w:r>
        <w:rPr>
          <w:rFonts w:hint="eastAsia" w:cs="Times New Roman"/>
          <w:sz w:val="20"/>
          <w:szCs w:val="20"/>
          <w:highlight w:val="none"/>
          <w:lang w:val="en-US" w:eastAsia="zh-CN"/>
        </w:rPr>
        <w:t>, Thales, Approved.</w:t>
      </w:r>
    </w:p>
    <w:p>
      <w:pPr>
        <w:pStyle w:val="53"/>
        <w:numPr>
          <w:ilvl w:val="0"/>
          <w:numId w:val="5"/>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38.821</w:t>
      </w:r>
    </w:p>
    <w:p>
      <w:pPr>
        <w:pStyle w:val="53"/>
        <w:numPr>
          <w:ilvl w:val="0"/>
          <w:numId w:val="5"/>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38.803</w:t>
      </w:r>
    </w:p>
    <w:p>
      <w:pPr>
        <w:pStyle w:val="53"/>
        <w:numPr>
          <w:ilvl w:val="0"/>
          <w:numId w:val="5"/>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38.828</w:t>
      </w:r>
    </w:p>
    <w:p>
      <w:pPr>
        <w:pStyle w:val="53"/>
        <w:numPr>
          <w:ilvl w:val="0"/>
          <w:numId w:val="5"/>
        </w:numPr>
        <w:rPr>
          <w:rFonts w:hint="eastAsia" w:ascii="Times New Roman" w:hAnsi="Times New Roman" w:eastAsia="宋体" w:cs="Times New Roman"/>
          <w:sz w:val="20"/>
          <w:szCs w:val="20"/>
          <w:highlight w:val="none"/>
          <w:lang w:val="en-US" w:eastAsia="zh-CN"/>
        </w:rPr>
      </w:pPr>
      <w:r>
        <w:rPr>
          <w:rFonts w:hint="eastAsia" w:ascii="Times New Roman" w:hAnsi="Times New Roman" w:cs="Times New Roman"/>
          <w:b w:val="0"/>
          <w:sz w:val="20"/>
          <w:szCs w:val="20"/>
          <w:highlight w:val="none"/>
          <w:u w:val="none"/>
        </w:rPr>
        <w:t>R4-2217496</w:t>
      </w:r>
      <w:r>
        <w:rPr>
          <w:rFonts w:hint="eastAsia" w:cs="Times New Roman"/>
          <w:b w:val="0"/>
          <w:sz w:val="20"/>
          <w:szCs w:val="20"/>
          <w:highlight w:val="none"/>
          <w:u w:val="none"/>
          <w:lang w:val="en-US" w:eastAsia="zh-CN"/>
        </w:rPr>
        <w:t xml:space="preserve">, </w:t>
      </w:r>
      <w:r>
        <w:rPr>
          <w:rFonts w:hint="eastAsia" w:ascii="Times New Roman" w:hAnsi="Times New Roman" w:cs="Times New Roman"/>
          <w:b w:val="0"/>
          <w:sz w:val="20"/>
          <w:szCs w:val="20"/>
          <w:highlight w:val="none"/>
        </w:rPr>
        <w:t>Email discussion summary for [104-bis-e][312] NR_NTN_enh_Part1</w:t>
      </w:r>
    </w:p>
    <w:p>
      <w:pPr>
        <w:pStyle w:val="53"/>
        <w:numPr>
          <w:ilvl w:val="0"/>
          <w:numId w:val="5"/>
        </w:numPr>
        <w:rPr>
          <w:rFonts w:hint="eastAsia" w:ascii="Times New Roman" w:hAnsi="Times New Roman" w:cs="Times New Roman"/>
          <w:b w:val="0"/>
          <w:sz w:val="20"/>
          <w:szCs w:val="20"/>
          <w:highlight w:val="none"/>
        </w:rPr>
      </w:pPr>
      <w:r>
        <w:rPr>
          <w:rFonts w:hint="eastAsia" w:ascii="Times New Roman" w:hAnsi="Times New Roman" w:cs="Times New Roman"/>
          <w:b w:val="0"/>
          <w:sz w:val="20"/>
          <w:szCs w:val="20"/>
          <w:highlight w:val="none"/>
          <w:u w:val="none"/>
        </w:rPr>
        <w:t>R4-2217467</w:t>
      </w:r>
      <w:r>
        <w:rPr>
          <w:rFonts w:hint="eastAsia" w:cs="Times New Roman"/>
          <w:b w:val="0"/>
          <w:sz w:val="20"/>
          <w:szCs w:val="20"/>
          <w:highlight w:val="none"/>
          <w:u w:val="none"/>
          <w:lang w:val="en-US" w:eastAsia="zh-CN"/>
        </w:rPr>
        <w:t>,</w:t>
      </w:r>
      <w:r>
        <w:rPr>
          <w:rFonts w:hint="eastAsia" w:ascii="Times New Roman" w:hAnsi="Times New Roman" w:cs="Times New Roman"/>
          <w:b w:val="0"/>
          <w:sz w:val="20"/>
          <w:szCs w:val="20"/>
          <w:highlight w:val="none"/>
          <w:u w:val="none"/>
        </w:rPr>
        <w:t xml:space="preserve"> </w:t>
      </w:r>
      <w:r>
        <w:rPr>
          <w:rFonts w:hint="eastAsia" w:ascii="Times New Roman" w:hAnsi="Times New Roman" w:cs="Times New Roman"/>
          <w:b w:val="0"/>
          <w:sz w:val="20"/>
          <w:szCs w:val="20"/>
          <w:highlight w:val="none"/>
        </w:rPr>
        <w:t>WF on NR NTN Enhancements Part1</w:t>
      </w:r>
      <w:r>
        <w:rPr>
          <w:rFonts w:hint="eastAsia" w:cs="Times New Roman"/>
          <w:b w:val="0"/>
          <w:sz w:val="20"/>
          <w:szCs w:val="20"/>
          <w:highlight w:val="none"/>
          <w:lang w:val="en-US" w:eastAsia="zh-CN"/>
        </w:rPr>
        <w:t>, Thales, approved.</w:t>
      </w:r>
    </w:p>
    <w:p>
      <w:pPr>
        <w:pStyle w:val="53"/>
        <w:numPr>
          <w:ilvl w:val="0"/>
          <w:numId w:val="5"/>
        </w:numPr>
        <w:rPr>
          <w:rFonts w:hint="eastAsia" w:ascii="Times New Roman" w:hAnsi="Times New Roman" w:cs="Times New Roman"/>
          <w:b w:val="0"/>
          <w:sz w:val="20"/>
          <w:szCs w:val="20"/>
          <w:highlight w:val="none"/>
        </w:rPr>
      </w:pPr>
      <w:r>
        <w:rPr>
          <w:rFonts w:hint="eastAsia" w:ascii="Times New Roman" w:hAnsi="Times New Roman" w:eastAsia="宋体" w:cs="Times New Roman"/>
          <w:i w:val="0"/>
          <w:caps w:val="0"/>
          <w:spacing w:val="0"/>
          <w:sz w:val="20"/>
          <w:szCs w:val="20"/>
          <w:highlight w:val="none"/>
          <w:u w:val="none"/>
        </w:rPr>
        <w:fldChar w:fldCharType="begin"/>
      </w:r>
      <w:r>
        <w:rPr>
          <w:rFonts w:hint="eastAsia" w:ascii="Times New Roman" w:hAnsi="Times New Roman" w:eastAsia="宋体" w:cs="Times New Roman"/>
          <w:i w:val="0"/>
          <w:caps w:val="0"/>
          <w:spacing w:val="0"/>
          <w:sz w:val="20"/>
          <w:szCs w:val="20"/>
          <w:highlight w:val="none"/>
          <w:u w:val="none"/>
        </w:rPr>
        <w:instrText xml:space="preserve"> HYPERLINK "https://www.3gpp.org/ftp/TSG_RAN/WG4_Radio/TSGR4_84/Docs/R4-1709181.zip" \t "https://portal.3gpp.org/ngppapp/_blank" </w:instrText>
      </w:r>
      <w:r>
        <w:rPr>
          <w:rFonts w:hint="eastAsia" w:ascii="Times New Roman" w:hAnsi="Times New Roman" w:eastAsia="宋体" w:cs="Times New Roman"/>
          <w:i w:val="0"/>
          <w:caps w:val="0"/>
          <w:spacing w:val="0"/>
          <w:sz w:val="20"/>
          <w:szCs w:val="20"/>
          <w:highlight w:val="none"/>
          <w:u w:val="none"/>
        </w:rPr>
        <w:fldChar w:fldCharType="separate"/>
      </w:r>
      <w:r>
        <w:rPr>
          <w:rFonts w:hint="eastAsia" w:ascii="Times New Roman" w:hAnsi="Times New Roman" w:eastAsia="宋体" w:cs="Times New Roman"/>
          <w:i w:val="0"/>
          <w:caps w:val="0"/>
          <w:spacing w:val="0"/>
          <w:sz w:val="20"/>
          <w:szCs w:val="20"/>
          <w:highlight w:val="none"/>
        </w:rPr>
        <w:t>R4-1709181</w:t>
      </w:r>
      <w:r>
        <w:rPr>
          <w:rFonts w:hint="eastAsia" w:ascii="Times New Roman" w:hAnsi="Times New Roman" w:eastAsia="宋体" w:cs="Times New Roman"/>
          <w:i w:val="0"/>
          <w:caps w:val="0"/>
          <w:spacing w:val="0"/>
          <w:sz w:val="20"/>
          <w:szCs w:val="20"/>
          <w:highlight w:val="none"/>
          <w:u w:val="none"/>
        </w:rPr>
        <w:fldChar w:fldCharType="end"/>
      </w:r>
      <w:r>
        <w:rPr>
          <w:rFonts w:hint="eastAsia" w:ascii="Times New Roman" w:hAnsi="Times New Roman" w:eastAsia="宋体" w:cs="Times New Roman"/>
          <w:i w:val="0"/>
          <w:caps w:val="0"/>
          <w:spacing w:val="0"/>
          <w:sz w:val="20"/>
          <w:szCs w:val="20"/>
          <w:highlight w:val="none"/>
          <w:u w:val="none"/>
          <w:lang w:val="en-US" w:eastAsia="zh-CN"/>
        </w:rPr>
        <w:t>,</w:t>
      </w:r>
      <w:r>
        <w:rPr>
          <w:rFonts w:hint="eastAsia" w:ascii="Times New Roman" w:hAnsi="Times New Roman" w:eastAsia="宋体" w:cs="Times New Roman"/>
          <w:i w:val="0"/>
          <w:caps w:val="0"/>
          <w:spacing w:val="0"/>
          <w:sz w:val="20"/>
          <w:szCs w:val="20"/>
          <w:highlight w:val="none"/>
          <w:u w:val="none"/>
        </w:rPr>
        <w:t>WF on NR band Numbering</w:t>
      </w:r>
      <w:r>
        <w:rPr>
          <w:rFonts w:hint="eastAsia" w:ascii="Times New Roman" w:hAnsi="Times New Roman" w:eastAsia="宋体" w:cs="Times New Roman"/>
          <w:i w:val="0"/>
          <w:caps w:val="0"/>
          <w:spacing w:val="0"/>
          <w:sz w:val="20"/>
          <w:szCs w:val="20"/>
          <w:highlight w:val="none"/>
          <w:u w:val="none"/>
          <w:lang w:val="en-US" w:eastAsia="zh-CN"/>
        </w:rPr>
        <w:t>, approved.</w:t>
      </w:r>
    </w:p>
    <w:p>
      <w:pPr>
        <w:pStyle w:val="53"/>
        <w:numPr>
          <w:ilvl w:val="-1"/>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20"/>
        <w:shd w:val="clear" w:color="auto" w:fill="FFFFFF"/>
        <w:spacing w:before="60" w:beforeAutospacing="0" w:after="0" w:afterAutospacing="0" w:line="300" w:lineRule="atLeast"/>
        <w:rPr>
          <w:rStyle w:val="28"/>
          <w:rFonts w:ascii="Times New Roman" w:hAnsi="Times New Roman" w:cs="Times New Roman"/>
          <w:color w:val="auto"/>
          <w:sz w:val="21"/>
          <w:szCs w:val="21"/>
          <w:highlight w:val="none"/>
          <w:shd w:val="clear" w:color="auto" w:fill="FFFFFF"/>
        </w:rPr>
      </w:pPr>
    </w:p>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MS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3B796C6"/>
    <w:multiLevelType w:val="singleLevel"/>
    <w:tmpl w:val="33B796C6"/>
    <w:lvl w:ilvl="0" w:tentative="0">
      <w:start w:val="1"/>
      <w:numFmt w:val="bullet"/>
      <w:lvlText w:val="‒"/>
      <w:lvlJc w:val="left"/>
      <w:pPr>
        <w:ind w:left="420" w:leftChars="0" w:hanging="420" w:firstLineChars="0"/>
      </w:pPr>
      <w:rPr>
        <w:rFonts w:hint="default" w:ascii="Arial" w:hAnsi="Arial" w:cs="Arial"/>
      </w:rPr>
    </w:lvl>
  </w:abstractNum>
  <w:abstractNum w:abstractNumId="2">
    <w:nsid w:val="58B73482"/>
    <w:multiLevelType w:val="multilevel"/>
    <w:tmpl w:val="58B73482"/>
    <w:lvl w:ilvl="0" w:tentative="0">
      <w:start w:val="1"/>
      <w:numFmt w:val="bullet"/>
      <w:lvlText w:val=""/>
      <w:lvlJc w:val="left"/>
      <w:pPr>
        <w:ind w:left="1780" w:hanging="360"/>
      </w:pPr>
      <w:rPr>
        <w:rFonts w:hint="default" w:ascii="Symbol" w:hAnsi="Symbol"/>
      </w:rPr>
    </w:lvl>
    <w:lvl w:ilvl="1" w:tentative="0">
      <w:start w:val="1"/>
      <w:numFmt w:val="bullet"/>
      <w:lvlText w:val="o"/>
      <w:lvlJc w:val="left"/>
      <w:pPr>
        <w:ind w:left="2500" w:hanging="360"/>
      </w:pPr>
      <w:rPr>
        <w:rFonts w:hint="default" w:ascii="Courier New" w:hAnsi="Courier New" w:cs="Courier New"/>
      </w:rPr>
    </w:lvl>
    <w:lvl w:ilvl="2" w:tentative="0">
      <w:start w:val="1"/>
      <w:numFmt w:val="bullet"/>
      <w:lvlText w:val=""/>
      <w:lvlJc w:val="left"/>
      <w:pPr>
        <w:ind w:left="3220" w:hanging="360"/>
      </w:pPr>
      <w:rPr>
        <w:rFonts w:hint="default" w:ascii="Wingdings" w:hAnsi="Wingdings"/>
      </w:rPr>
    </w:lvl>
    <w:lvl w:ilvl="3" w:tentative="0">
      <w:start w:val="1"/>
      <w:numFmt w:val="bullet"/>
      <w:lvlText w:val=""/>
      <w:lvlJc w:val="left"/>
      <w:pPr>
        <w:ind w:left="3940" w:hanging="360"/>
      </w:pPr>
      <w:rPr>
        <w:rFonts w:hint="default" w:ascii="Symbol" w:hAnsi="Symbol"/>
      </w:rPr>
    </w:lvl>
    <w:lvl w:ilvl="4" w:tentative="0">
      <w:start w:val="1"/>
      <w:numFmt w:val="bullet"/>
      <w:lvlText w:val="o"/>
      <w:lvlJc w:val="left"/>
      <w:pPr>
        <w:ind w:left="4660" w:hanging="360"/>
      </w:pPr>
      <w:rPr>
        <w:rFonts w:hint="default" w:ascii="Courier New" w:hAnsi="Courier New" w:cs="Courier New"/>
      </w:rPr>
    </w:lvl>
    <w:lvl w:ilvl="5" w:tentative="0">
      <w:start w:val="1"/>
      <w:numFmt w:val="bullet"/>
      <w:lvlText w:val=""/>
      <w:lvlJc w:val="left"/>
      <w:pPr>
        <w:ind w:left="5380" w:hanging="360"/>
      </w:pPr>
      <w:rPr>
        <w:rFonts w:hint="default" w:ascii="Wingdings" w:hAnsi="Wingdings"/>
      </w:rPr>
    </w:lvl>
    <w:lvl w:ilvl="6" w:tentative="0">
      <w:start w:val="1"/>
      <w:numFmt w:val="bullet"/>
      <w:lvlText w:val=""/>
      <w:lvlJc w:val="left"/>
      <w:pPr>
        <w:ind w:left="6100" w:hanging="360"/>
      </w:pPr>
      <w:rPr>
        <w:rFonts w:hint="default" w:ascii="Symbol" w:hAnsi="Symbol"/>
      </w:rPr>
    </w:lvl>
    <w:lvl w:ilvl="7" w:tentative="0">
      <w:start w:val="1"/>
      <w:numFmt w:val="bullet"/>
      <w:lvlText w:val="o"/>
      <w:lvlJc w:val="left"/>
      <w:pPr>
        <w:ind w:left="6820" w:hanging="360"/>
      </w:pPr>
      <w:rPr>
        <w:rFonts w:hint="default" w:ascii="Courier New" w:hAnsi="Courier New" w:cs="Courier New"/>
      </w:rPr>
    </w:lvl>
    <w:lvl w:ilvl="8" w:tentative="0">
      <w:start w:val="1"/>
      <w:numFmt w:val="bullet"/>
      <w:lvlText w:val=""/>
      <w:lvlJc w:val="left"/>
      <w:pPr>
        <w:ind w:left="7540" w:hanging="360"/>
      </w:pPr>
      <w:rPr>
        <w:rFonts w:hint="default" w:ascii="Wingdings" w:hAnsi="Wingdings"/>
      </w:r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CC2223"/>
    <w:rsid w:val="04D66461"/>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D835FB"/>
    <w:rsid w:val="07DD018B"/>
    <w:rsid w:val="07E014BE"/>
    <w:rsid w:val="07E04AA8"/>
    <w:rsid w:val="07E85751"/>
    <w:rsid w:val="07ED5339"/>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5200D"/>
    <w:rsid w:val="08F911CC"/>
    <w:rsid w:val="09016732"/>
    <w:rsid w:val="09127CF4"/>
    <w:rsid w:val="09157E5B"/>
    <w:rsid w:val="092073EA"/>
    <w:rsid w:val="092234B5"/>
    <w:rsid w:val="09226860"/>
    <w:rsid w:val="092816B4"/>
    <w:rsid w:val="092C26C9"/>
    <w:rsid w:val="09334A3F"/>
    <w:rsid w:val="094109B5"/>
    <w:rsid w:val="09444B9B"/>
    <w:rsid w:val="0953050B"/>
    <w:rsid w:val="09546457"/>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F4797"/>
    <w:rsid w:val="0D432A3E"/>
    <w:rsid w:val="0D480AA9"/>
    <w:rsid w:val="0D5800C7"/>
    <w:rsid w:val="0D5B6E86"/>
    <w:rsid w:val="0D604B9B"/>
    <w:rsid w:val="0D63712E"/>
    <w:rsid w:val="0D6A353C"/>
    <w:rsid w:val="0D813BDF"/>
    <w:rsid w:val="0D826C81"/>
    <w:rsid w:val="0D904522"/>
    <w:rsid w:val="0D976014"/>
    <w:rsid w:val="0DA060E8"/>
    <w:rsid w:val="0DA21DEB"/>
    <w:rsid w:val="0DA57AAE"/>
    <w:rsid w:val="0DAD467B"/>
    <w:rsid w:val="0DB76EF8"/>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9564D"/>
    <w:rsid w:val="0F4B7E21"/>
    <w:rsid w:val="0F4D1918"/>
    <w:rsid w:val="0F5075AE"/>
    <w:rsid w:val="0F521719"/>
    <w:rsid w:val="0F571705"/>
    <w:rsid w:val="0F584757"/>
    <w:rsid w:val="0F6A1108"/>
    <w:rsid w:val="0F704CEF"/>
    <w:rsid w:val="0F7514AB"/>
    <w:rsid w:val="0F7735CB"/>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A5A30"/>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E4121"/>
    <w:rsid w:val="18420253"/>
    <w:rsid w:val="18421B7F"/>
    <w:rsid w:val="18457138"/>
    <w:rsid w:val="18533B98"/>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6703B7"/>
    <w:rsid w:val="1E680B85"/>
    <w:rsid w:val="1E6B2336"/>
    <w:rsid w:val="1E7845CD"/>
    <w:rsid w:val="1E8028A0"/>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A6416"/>
    <w:rsid w:val="27907336"/>
    <w:rsid w:val="279408D2"/>
    <w:rsid w:val="279A2ED3"/>
    <w:rsid w:val="27A170DE"/>
    <w:rsid w:val="27A23025"/>
    <w:rsid w:val="27A46397"/>
    <w:rsid w:val="27B02558"/>
    <w:rsid w:val="27B03EC1"/>
    <w:rsid w:val="27B2667F"/>
    <w:rsid w:val="27B91021"/>
    <w:rsid w:val="27C06D17"/>
    <w:rsid w:val="27C66099"/>
    <w:rsid w:val="27CA7CDA"/>
    <w:rsid w:val="27CC0B54"/>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64370"/>
    <w:rsid w:val="29E765AE"/>
    <w:rsid w:val="29EB2636"/>
    <w:rsid w:val="29ED4F50"/>
    <w:rsid w:val="29F26903"/>
    <w:rsid w:val="2A06427E"/>
    <w:rsid w:val="2A0F1A72"/>
    <w:rsid w:val="2A0F7591"/>
    <w:rsid w:val="2A13176E"/>
    <w:rsid w:val="2A216713"/>
    <w:rsid w:val="2A220953"/>
    <w:rsid w:val="2A222BC6"/>
    <w:rsid w:val="2A25339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E70523"/>
    <w:rsid w:val="2AF12CDF"/>
    <w:rsid w:val="2AF27DCB"/>
    <w:rsid w:val="2AF86D0B"/>
    <w:rsid w:val="2AF92B4F"/>
    <w:rsid w:val="2B0726A6"/>
    <w:rsid w:val="2B0C6B23"/>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86C09"/>
    <w:rsid w:val="2B795BD8"/>
    <w:rsid w:val="2B8759DF"/>
    <w:rsid w:val="2B8A4F1A"/>
    <w:rsid w:val="2B8B34AB"/>
    <w:rsid w:val="2B914C5E"/>
    <w:rsid w:val="2BA252E6"/>
    <w:rsid w:val="2BA43A43"/>
    <w:rsid w:val="2BA53554"/>
    <w:rsid w:val="2BB44220"/>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9A4BB6"/>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CD2772"/>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82839"/>
    <w:rsid w:val="3AEE596A"/>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F0572F1"/>
    <w:rsid w:val="3F144192"/>
    <w:rsid w:val="3F180191"/>
    <w:rsid w:val="3F1871AF"/>
    <w:rsid w:val="3F217DDA"/>
    <w:rsid w:val="3F2B184D"/>
    <w:rsid w:val="3F2C7646"/>
    <w:rsid w:val="3F2F01F0"/>
    <w:rsid w:val="3F3C6744"/>
    <w:rsid w:val="3F421D47"/>
    <w:rsid w:val="3F441B08"/>
    <w:rsid w:val="3F4A4087"/>
    <w:rsid w:val="3F5361F5"/>
    <w:rsid w:val="3F556D23"/>
    <w:rsid w:val="3F5B09D7"/>
    <w:rsid w:val="3F5D051B"/>
    <w:rsid w:val="3F630E3A"/>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E210C1"/>
    <w:rsid w:val="3FEB1C22"/>
    <w:rsid w:val="3FEE2117"/>
    <w:rsid w:val="3FFA58A6"/>
    <w:rsid w:val="3FFA5C63"/>
    <w:rsid w:val="40073561"/>
    <w:rsid w:val="400A1CFC"/>
    <w:rsid w:val="4014369D"/>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D153A"/>
    <w:rsid w:val="40C3250A"/>
    <w:rsid w:val="40CD7BD8"/>
    <w:rsid w:val="40CE24AF"/>
    <w:rsid w:val="40D07371"/>
    <w:rsid w:val="40D72999"/>
    <w:rsid w:val="40DF3ABC"/>
    <w:rsid w:val="40E75AF0"/>
    <w:rsid w:val="40E87142"/>
    <w:rsid w:val="40F00A85"/>
    <w:rsid w:val="40F1013C"/>
    <w:rsid w:val="40F35427"/>
    <w:rsid w:val="40FE1447"/>
    <w:rsid w:val="41053DED"/>
    <w:rsid w:val="410623D3"/>
    <w:rsid w:val="41074BCF"/>
    <w:rsid w:val="412506DF"/>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D1580B"/>
    <w:rsid w:val="41D57639"/>
    <w:rsid w:val="41DC5EDF"/>
    <w:rsid w:val="41DD05DE"/>
    <w:rsid w:val="41E4117E"/>
    <w:rsid w:val="41E41803"/>
    <w:rsid w:val="41F04C42"/>
    <w:rsid w:val="41F07014"/>
    <w:rsid w:val="41F24303"/>
    <w:rsid w:val="41F52080"/>
    <w:rsid w:val="41F94D40"/>
    <w:rsid w:val="42001B5D"/>
    <w:rsid w:val="420850A2"/>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25456D"/>
    <w:rsid w:val="44336EAB"/>
    <w:rsid w:val="44393BD3"/>
    <w:rsid w:val="443E43CB"/>
    <w:rsid w:val="444014DC"/>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60D3781"/>
    <w:rsid w:val="46143BB4"/>
    <w:rsid w:val="46346A8F"/>
    <w:rsid w:val="46365246"/>
    <w:rsid w:val="463A2D38"/>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840CB"/>
    <w:rsid w:val="4C312ECF"/>
    <w:rsid w:val="4C3C4F9D"/>
    <w:rsid w:val="4C422CA7"/>
    <w:rsid w:val="4C427C5C"/>
    <w:rsid w:val="4C5035A1"/>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45B17"/>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7344"/>
    <w:rsid w:val="55A578C3"/>
    <w:rsid w:val="55A63100"/>
    <w:rsid w:val="55AA0C0C"/>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84379"/>
    <w:rsid w:val="5D7B3457"/>
    <w:rsid w:val="5D826C13"/>
    <w:rsid w:val="5D8B2715"/>
    <w:rsid w:val="5D8D250E"/>
    <w:rsid w:val="5D8F399C"/>
    <w:rsid w:val="5D8F6111"/>
    <w:rsid w:val="5D915AFD"/>
    <w:rsid w:val="5D9404A9"/>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754A5D"/>
    <w:rsid w:val="5E783202"/>
    <w:rsid w:val="5E7842EE"/>
    <w:rsid w:val="5E7A4974"/>
    <w:rsid w:val="5E803D55"/>
    <w:rsid w:val="5E854DAE"/>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501A"/>
    <w:rsid w:val="5FAB674F"/>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A5C24"/>
    <w:rsid w:val="645B5DC0"/>
    <w:rsid w:val="645D3A6B"/>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B3E14"/>
    <w:rsid w:val="689B7663"/>
    <w:rsid w:val="689C5C1D"/>
    <w:rsid w:val="689D6F4C"/>
    <w:rsid w:val="689F2FA0"/>
    <w:rsid w:val="68A02CE9"/>
    <w:rsid w:val="68A036C8"/>
    <w:rsid w:val="68A41350"/>
    <w:rsid w:val="68AD26AA"/>
    <w:rsid w:val="68AE2B22"/>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206E21"/>
    <w:rsid w:val="6C25194D"/>
    <w:rsid w:val="6C263A06"/>
    <w:rsid w:val="6C337BE8"/>
    <w:rsid w:val="6C386C47"/>
    <w:rsid w:val="6C3A624E"/>
    <w:rsid w:val="6C3F4795"/>
    <w:rsid w:val="6C431738"/>
    <w:rsid w:val="6C442E2D"/>
    <w:rsid w:val="6C45539A"/>
    <w:rsid w:val="6C4B106D"/>
    <w:rsid w:val="6C505966"/>
    <w:rsid w:val="6C5D04BB"/>
    <w:rsid w:val="6C666C3C"/>
    <w:rsid w:val="6C6833E1"/>
    <w:rsid w:val="6C756009"/>
    <w:rsid w:val="6C831974"/>
    <w:rsid w:val="6C882F2E"/>
    <w:rsid w:val="6C8E4315"/>
    <w:rsid w:val="6C95615F"/>
    <w:rsid w:val="6CA94419"/>
    <w:rsid w:val="6CB242A2"/>
    <w:rsid w:val="6CC818AD"/>
    <w:rsid w:val="6CD944B7"/>
    <w:rsid w:val="6CE0612A"/>
    <w:rsid w:val="6CE269D3"/>
    <w:rsid w:val="6CEC448A"/>
    <w:rsid w:val="6CED284E"/>
    <w:rsid w:val="6CED3DB2"/>
    <w:rsid w:val="6CEF4D2C"/>
    <w:rsid w:val="6CF04EB7"/>
    <w:rsid w:val="6CF17872"/>
    <w:rsid w:val="6CF76712"/>
    <w:rsid w:val="6CFD23D1"/>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9C5D71"/>
    <w:rsid w:val="6FA3781E"/>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555B90"/>
    <w:rsid w:val="70680AC8"/>
    <w:rsid w:val="70684400"/>
    <w:rsid w:val="706D51B8"/>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085D"/>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B509B"/>
    <w:rsid w:val="74FB6035"/>
    <w:rsid w:val="7502618E"/>
    <w:rsid w:val="750934A8"/>
    <w:rsid w:val="750A15E4"/>
    <w:rsid w:val="750C76FA"/>
    <w:rsid w:val="751C6D8A"/>
    <w:rsid w:val="752B3381"/>
    <w:rsid w:val="75325694"/>
    <w:rsid w:val="75376E15"/>
    <w:rsid w:val="753B454F"/>
    <w:rsid w:val="75441B17"/>
    <w:rsid w:val="75457EFF"/>
    <w:rsid w:val="7554481F"/>
    <w:rsid w:val="75594581"/>
    <w:rsid w:val="755A5494"/>
    <w:rsid w:val="75625A16"/>
    <w:rsid w:val="7564200E"/>
    <w:rsid w:val="75663FD1"/>
    <w:rsid w:val="757540E3"/>
    <w:rsid w:val="75912385"/>
    <w:rsid w:val="759739B3"/>
    <w:rsid w:val="759B02AD"/>
    <w:rsid w:val="759B0C43"/>
    <w:rsid w:val="759B5CAF"/>
    <w:rsid w:val="759F1A50"/>
    <w:rsid w:val="75A53BC6"/>
    <w:rsid w:val="75AA180C"/>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87F65"/>
    <w:rsid w:val="77284F7D"/>
    <w:rsid w:val="7729766A"/>
    <w:rsid w:val="772D35A6"/>
    <w:rsid w:val="772D3786"/>
    <w:rsid w:val="773A62B8"/>
    <w:rsid w:val="773E64A6"/>
    <w:rsid w:val="77422DC5"/>
    <w:rsid w:val="7743723B"/>
    <w:rsid w:val="77490C6C"/>
    <w:rsid w:val="774B3934"/>
    <w:rsid w:val="774B7A86"/>
    <w:rsid w:val="774D47BD"/>
    <w:rsid w:val="775352E9"/>
    <w:rsid w:val="77551F00"/>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2022-11-07T14:10:24Z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